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SBG 2016 — Förmliche Anerkennungen, Bestpreise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Vertrauensperson hat das Recht, Soldatinnen und Soldaten ihrer Wählergruppe für eine förmliche Anerkennung gemäß § 11 Absatz 1 der Wehrdisziplinarordnung oder für einen Bestpreis vorzuschlagen.</w:t>
      </w:r>
    </w:p>
    <w:p>
      <w:r>
        <w:t xml:space="preserve">(2) Die oder der Disziplinarvorgesetzte hat die Vertrauensperson vor der Erteilung einer förmlichen Anerkennung oder eines Bestpreises anzuhören.</w:t>
      </w:r>
    </w:p>
    <w:p>
      <w:r>
        <w:t xml:space="preserve">(3) Vor der Rücknahme einer förmlichen Anerkennung gemäß § 14 der Wehrdisziplinarordnung ist die Vertrauensperson anzuhören.</w:t>
      </w:r>
    </w:p>
    <w:p>
      <w:r>
        <w:rPr>
          <w:color w:val="555555"/>
          <w:sz w:val="17"/>
        </w:rPr>
        <w:t xml:space="preserve">Zitiervorschlag: § 29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https://recht.nulegal.eu/gesetze/SBG%202016/29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