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SBG 2016 — Berufsförderung</w:t>
      </w:r>
    </w:p>
    <w:p>
      <w:r>
        <w:rPr>
          <w:color w:val="555555"/>
          <w:sz w:val="18"/>
        </w:rPr>
        <w:t xml:space="preserve">Soldatinnen- und Soldatenbeteiligungsgesetz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Bei Ermessensentscheidungen der oder des Disziplinarvorgesetzten über Maßnahmen der Berufsförderung bestimmt die Vertrauensperson auf Antrag der Soldatin oder des Soldaten mit. § 23 Absatz 5 gilt entsprechend.</w:t>
      </w:r>
    </w:p>
    <w:p>
      <w:r>
        <w:t xml:space="preserve">(2) Berufsförderung im Sinne des Absatzes 1 umfasst berufsbildende Förderungsmaßnahmen nach dem Soldatenversorgungsgesetz und sonstige berufsfördernde und berufsbildende Maßnahmen.</w:t>
      </w:r>
    </w:p>
    <w:p>
      <w:r>
        <w:rPr>
          <w:color w:val="555555"/>
          <w:sz w:val="17"/>
        </w:rPr>
        <w:t xml:space="preserve">Zitiervorschlag: § 27 SBG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https://recht.nulegal.eu/gesetze/SBG%202016/27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