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SBG 2016 — Aufgaben der Vertrauensperson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Vertrauensperson soll zur verantwortungsvollen Zusammenarbeit zwischen Vorgesetzten und Untergebenen sowie zur Festigung des kameradschaftlichen Vertrauens innerhalb des Bereiches beitragen, für den sie gewählt ist.</w:t>
      </w:r>
    </w:p>
    <w:p>
      <w:r>
        <w:t xml:space="preserve">(2) Vertrauensperson und Disziplinarvorgesetzte oder Disziplinarvorgesetzter arbeiten im Interesse der Soldatinnen und Soldaten des Wahlbereiches und zur Erfüllung des Auftrages der Streitkräfte mit dem Ziel der Verständigung eng zusammen.</w:t>
      </w:r>
    </w:p>
    <w:p>
      <w:r>
        <w:t xml:space="preserve">(3) Die Vertrauensperson hat folgende allgemeine Aufgaben:</w:t>
      </w:r>
    </w:p>
    <w:p>
      <w:pPr>
        <w:ind w:left="420"/>
      </w:pPr>
      <w:r>
        <w:t xml:space="preserve">1. Maßnahmen zu beantragen, die der Dienststelle und ihren Soldatinnen und Soldaten dienen,</w:t>
      </w:r>
    </w:p>
    <w:p>
      <w:pPr>
        <w:ind w:left="420"/>
      </w:pPr>
      <w:r>
        <w:t xml:space="preserve">2. darüber zu wachen, dass die zugunsten der Soldatinnen und Soldaten geltenden Gesetze, Verordnungen und Vorschriften durchgeführt werden,</w:t>
      </w:r>
    </w:p>
    <w:p>
      <w:pPr>
        <w:ind w:left="420"/>
      </w:pPr>
      <w:r>
        <w:t xml:space="preserve">3. Anregungen und Beanstandungen von Soldatinnen und Soldaten entgegenzunehmen und, falls diese berechtigt erscheinen, durch Erörterung mit der oder dem Disziplinarvorgesetzten auf ihre Erledigung hinzuwirken,</w:t>
      </w:r>
    </w:p>
    <w:p>
      <w:pPr>
        <w:ind w:left="420"/>
      </w:pPr>
      <w:r>
        <w:t xml:space="preserve">4. sich dafür einzusetzen, dass die Vereinbarkeit von Familie und Dienst gefördert wird und</w:t>
      </w:r>
    </w:p>
    <w:p>
      <w:pPr>
        <w:ind w:left="420"/>
      </w:pPr>
      <w:r>
        <w:t xml:space="preserve">5. auf die Verwirklichung der Ziele des Soldatinnen- und Soldatengleichbehandlungsgesetzes sowie des Soldatinnen- und Soldatengleichstellungsgesetzes hinzuwirken.</w:t>
      </w:r>
    </w:p>
    <w:p>
      <w:r>
        <w:rPr>
          <w:color w:val="555555"/>
          <w:sz w:val="17"/>
        </w:rPr>
        <w:t xml:space="preserve">Zitiervorschlag: § 19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