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SBBFestV 2014 — Inkrafttreten</w:t>
      </w:r>
    </w:p>
    <w:p>
      <w:r>
        <w:rPr>
          <w:color w:val="555555"/>
          <w:sz w:val="18"/>
        </w:rPr>
        <w:t xml:space="preserve">Sonderbundesbeteiligungs-Festlegungsverordnung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SBBFestV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https://recht.nulegal.eu/gesetze/SBBFestV%202014/2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