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SAbfGebO (Brandenburg) — Übergangsregelung</w:t>
      </w:r>
    </w:p>
    <w:p>
      <w:r>
        <w:rPr>
          <w:color w:val="555555"/>
          <w:sz w:val="18"/>
        </w:rPr>
        <w:t xml:space="preserve">Sonderabfallgebührenordnung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Für Amtshandlungen der zentralen Einrichtung, die vor Inkrafttreten der Sonderabfallgebührenordnung vom 10. August 2000 ( GVBl. II S. 322) vorgenommen worden sind und für die die Erhebung von Kosten durch die zentrale Einrichtung vorgesehen war (Bekanntmachung der Entgelttarife vom 25. März 1997 [ ABl. S. 278], die zuletzt durch Bekanntmachung vom 1. Dezember 1998 [ABl. S. 1053] geändert worden ist), können Gebühren nach dieser Verordnung erhoben werden. Die Höhe der in § 2 Absatz 2 genannten Gebühr richtet sich nach den jeweils für den betreffenden Zeitraum bekannt gemachten Entgelttarifen.</w:t>
      </w:r>
    </w:p>
    <w:p>
      <w:r>
        <w:t xml:space="preserve">(2) Gebühren gemäß Tarifstelle 5 der Anlage werden nicht erhoben für Amtshandlungen der zentralen Einrichtung, die vor Inkrafttreten der Zweiten Verordnung zur Änderung der Sonderabfallgebührenordnung erfolgt sind und für die Gebühren bereits erhoben wurden.</w:t>
      </w:r>
    </w:p>
    <w:p>
      <w:r>
        <w:t xml:space="preserve">(3) Mit Außerkrafttreten des Verwaltungsvollstreckungsgesetzes für das Land Brandenburg vom 18. Dezember 1991 (GVBl. S. 661), das zuletzt durch Artikel 14 des Gesetzes vom 23. September 2008 (GVBl. I S. 202, 207) geändert worden ist, tritt § 6 Absatz 1 Satz 3 der Sonderabfallgebührenordnung außer Kraft.</w:t>
      </w:r>
    </w:p>
    <w:p>
      <w:r>
        <w:rPr>
          <w:color w:val="555555"/>
          <w:sz w:val="17"/>
        </w:rPr>
        <w:t xml:space="preserve">Zitiervorschlag: § 7 SAbfGebO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https://recht.nulegal.eu/gesetze/SAbfGebO/7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