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SAbfEV (Brandenburg) — Zurückweisung angedienter Abfälle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Kann eine Zuweisung unter Einhaltung der in § 5 Absatz 3 genannten Voraussetzungen nicht erfolgen, so weist die zentrale Einrichtung die angedienten Abfälle zurück. Sie kann die Zuweisung auch dann zurückweisen, wenn die Andienung durch den Abfallbesitzer nicht den Anforderungen des § 4 entspricht, der Andienungspflichtige Anordnungen oder Auflagen der zuständigen Behörde oder der zentralen Einrichtung nicht beachtet oder ein sonstiger wichtiger Grund vorliegt.</w:t>
      </w:r>
    </w:p>
    <w:p>
      <w:r>
        <w:t xml:space="preserve">(2) Bei einer Zurückweisung bleibt die Andienungspflicht gemäß § 3 bestehen.</w:t>
      </w:r>
    </w:p>
    <w:p>
      <w:r>
        <w:rPr>
          <w:color w:val="555555"/>
          <w:sz w:val="17"/>
        </w:rPr>
        <w:t xml:space="preserve">Zitiervorschlag: § 6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