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SAbfEV (Brandenburg) — Ordnungswidrigkeiten</w:t>
      </w:r>
    </w:p>
    <w:p>
      <w:r>
        <w:rPr>
          <w:color w:val="555555"/>
          <w:sz w:val="18"/>
        </w:rPr>
        <w:t xml:space="preserve">Sonderabfallentsorgungsverordnung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im Sinne des § 48 Absatz 1 Nummer 1 des Brandenburgischen Abfall- und Bodenschutzgesetzes handelt, wer vorsätzlich oder fahrlässig</w:t>
      </w:r>
    </w:p>
    <w:p>
      <w:r>
        <w:t xml:space="preserve">entgegen § 3 Absatz 1 und 3 andienungspflichtige Abfälle nicht andient oder entgegen § 4 Absatz 1 nicht rechtzeitig andient,</w:t>
      </w:r>
    </w:p>
    <w:p>
      <w:r>
        <w:t xml:space="preserve">entgegen § 5 Absatz 1 Satz 2 angediente Abfälle einer anderen als der zugewiesenen Entsorgungsanlage oder ohne Zuweisung Abfälle einer Entsorgungsanlage zuführt,</w:t>
      </w:r>
    </w:p>
    <w:p>
      <w:r>
        <w:t xml:space="preserve">entgegen § 5 Absatz 1 Satz 3 andienungspflichtige Abfälle ohne Zuweisung oder entgegen einer Zuweisung annimmt,</w:t>
      </w:r>
    </w:p>
    <w:p>
      <w:r>
        <w:t xml:space="preserve">eine vollziehbare Auflage nach § 5 Absatz 4 nicht, nicht richtig, nicht vollständig oder nicht rechtzeitig erfüllt,</w:t>
      </w:r>
    </w:p>
    <w:p>
      <w:r>
        <w:t xml:space="preserve">entgegen § 7 Absatz 1 Nummer 1, auch in Verbindung mit § 7 Absatz 3, eine Auskunft nicht, nicht richtig oder nicht vollständig erteilt,</w:t>
      </w:r>
    </w:p>
    <w:p>
      <w:r>
        <w:t xml:space="preserve">entgegen § 7 Absatz 1 Nummer 2, auch in Verbindung mit § 7 Absatz 3, Analysen nicht oder nicht richtig erstellt oder erstellen lässt.</w:t>
      </w:r>
    </w:p>
    <w:p>
      <w:r>
        <w:rPr>
          <w:color w:val="555555"/>
          <w:sz w:val="17"/>
        </w:rPr>
        <w:t xml:space="preserve">Zitiervorschlag: § 12 SAbfEV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https://recht.nulegal.eu/gesetze/SAbfEV/12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