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SAbfEV (Brandenburg) — Kosten der zentralen Einrichtung</w:t>
      </w:r>
    </w:p>
    <w:p>
      <w:r>
        <w:rPr>
          <w:color w:val="555555"/>
          <w:sz w:val="18"/>
        </w:rPr>
        <w:t xml:space="preserve">Sonderabfallentsorgungsverordnung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zentrale Einrichtung erhebt gemäß § 15 Absatz 3 des Brandenburgischen Abfall- und Bodenschutzgesetzes für die Aufgaben nach dieser Verordnung von den andienungspflichtigen Abfallbesitzern Gebühren und Auslagen (Kosten) auf der Grundlage einer gesonderten Verordnung.</w:t>
      </w:r>
    </w:p>
    <w:p>
      <w:r>
        <w:rPr>
          <w:color w:val="555555"/>
          <w:sz w:val="17"/>
        </w:rPr>
        <w:t xml:space="preserve">Zitiervorschlag: § 10 SAbfEV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https://recht.nulegal.eu/gesetze/SAbfEV/10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