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SAZV — Umgang mit besonderen zeitlichen Belastungen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30.09.2022 (konsolidierte Textfassung, kein amtliches Inkrafttretensdatum)</w:t>
      </w:r>
    </w:p>
    <w:p>
      <w:r>
        <w:t xml:space="preserve">Die Vorgesetzten sollen unter Berücksichtigung der militärischen Lage die besonderen zeitlichen Belastungen der Soldatinnen und Soldaten so gering wie möglich halten und nach Phasen extremer Belastung Zeiten der Regeneration gewähren.</w:t>
      </w:r>
    </w:p>
    <w:p>
      <w:r>
        <w:rPr>
          <w:color w:val="555555"/>
          <w:sz w:val="17"/>
        </w:rPr>
        <w:t xml:space="preserve">Zitiervorschlag: § 22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