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SAZV — Nichtanwendung des Abschnitts 2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Tätigkeiten nach § 30c Absatz 4 des Soldatengesetzes sind die Bestimmungen des Abschnitts 2 nicht anzuwenden.</w:t>
      </w:r>
    </w:p>
    <w:p>
      <w:r>
        <w:t xml:space="preserve">(2) Zeiten, während derer Tätigkeiten nach § 30c Absatz 4 des Soldatengesetzes verrichtet werden, werden bei der Berechnung der durchschnittlichen wöchentlichen Arbeitszeit nicht berücksichtigt. Das gilt auch für Freistellungszeiten, die aus Diensten nach § 30c Absatz 4 des Soldatengesetzes resultieren.</w:t>
      </w:r>
    </w:p>
    <w:p>
      <w:r>
        <w:rPr>
          <w:color w:val="555555"/>
          <w:sz w:val="17"/>
        </w:rPr>
        <w:t xml:space="preserve">Zitiervorschlag: § 20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