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SAZV — Mobiles Arbeiten</w:t>
      </w:r>
    </w:p>
    <w:p>
      <w:r>
        <w:rPr>
          <w:color w:val="555555"/>
          <w:sz w:val="18"/>
        </w:rPr>
        <w:t xml:space="preserve">Soldatenarbeitszeitverordnung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Soldatinnen oder Soldaten kann gestattet werden, den Dienst an einem anderen Ort als dem Arbeitsplatz zu leisten, wenn dienstliche Gründe nicht entgegenstehen.</w:t>
      </w:r>
    </w:p>
    <w:p>
      <w:r>
        <w:rPr>
          <w:color w:val="555555"/>
          <w:sz w:val="17"/>
        </w:rPr>
        <w:t xml:space="preserve">Zitiervorschlag: § 10 SAZV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https://recht.nulegal.eu/gesetze/SAZV/10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