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SARSCoV2KraftStV</w:t>
      </w:r>
    </w:p>
    <w:p>
      <w:r>
        <w:rPr>
          <w:color w:val="555555"/>
          <w:sz w:val="18"/>
        </w:rPr>
        <w:t xml:space="preserve">SARSCoV2-Kraftfahrzeugsteuer-Verordnung</w:t>
      </w:r>
    </w:p>
    <w:p>
      <w:r>
        <w:rPr>
          <w:color w:val="555555"/>
          <w:sz w:val="18"/>
        </w:rPr>
        <w:t xml:space="preserve">Historische Fassung: Stand 03.05.2020 bis 01.01.2021. Dies ist nicht die aktuelle Fassung.</w:t>
      </w:r>
    </w:p>
    <w:p>
      <w:r>
        <w:t xml:space="preserve">Auf Grund des § 15 Absatz 1 Nummer 2 und 4 des Kraftfahrzeugsteuergesetzes, der zuletzt durch Artikel 1 Nummer 11 Buchstabe a des Gesetzes vom 8. Juni 2015 (BGBl. I S. 901) geändert worden ist, verordnet das Bundesministerium der Finanzen:</w:t>
      </w:r>
    </w:p>
    <w:p>
      <w:r>
        <w:rPr>
          <w:color w:val="555555"/>
          <w:sz w:val="17"/>
        </w:rPr>
        <w:t xml:space="preserve">Zitiervorschlag: Eingangsformel SARSCoV2KraftStV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https://recht.nulegal.eu/gesetze/SARSCoV2KraftStV/eingangsformel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