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SARSCoV2KraftStV — Anzeigepflicht</w:t>
      </w:r>
    </w:p>
    <w:p>
      <w:r>
        <w:rPr>
          <w:color w:val="555555"/>
          <w:sz w:val="18"/>
        </w:rPr>
        <w:t xml:space="preserve">SARSCoV2-Kraftfahrzeugsteuer-Verordnung</w:t>
      </w:r>
    </w:p>
    <w:p>
      <w:r>
        <w:rPr>
          <w:color w:val="555555"/>
          <w:sz w:val="18"/>
        </w:rPr>
        <w:t xml:space="preserve">Historische Fassung: Stand 03.05.2020 bis 01.01.2021. Dies ist nicht die aktuelle Fassung.</w:t>
      </w:r>
    </w:p>
    <w:p>
      <w:r>
        <w:t xml:space="preserve">Die Anzeigepflicht nach § 7 Absatz 2 der Kraftfahrzeugsteuer-Durchführungsverordnung für die Benutzung von Fahrzeugen im Sinne der befristeten Abgrenzung nach § 1 entfällt.</w:t>
      </w:r>
    </w:p>
    <w:p>
      <w:r>
        <w:rPr>
          <w:color w:val="555555"/>
          <w:sz w:val="17"/>
        </w:rPr>
        <w:t xml:space="preserve">Zitiervorschlag: § 2 SARSCoV2KraftStV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https://recht.nulegal.eu/gesetze/SARSCoV2KraftStV/2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