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SARSCoV2IfTestAnsprV — Umfang der Testungen</w:t>
      </w:r>
    </w:p>
    <w:p>
      <w:r>
        <w:rPr>
          <w:color w:val="555555"/>
          <w:sz w:val="18"/>
        </w:rPr>
        <w:t xml:space="preserve">Verordnung zum Anspruch auf bestimmte Testungen für den Nachweis des Vorliegens einer Infektion mit dem Coronavirus SARS-CoV-2</w:t>
      </w:r>
    </w:p>
    <w:p>
      <w:r>
        <w:rPr>
          <w:color w:val="555555"/>
          <w:sz w:val="18"/>
        </w:rPr>
        <w:t xml:space="preserve">Historische Fassung: Stand 05.08.2020 bis 16.10.2020. Dies ist nicht die aktuelle Fassung.</w:t>
      </w:r>
    </w:p>
    <w:p>
      <w:r>
        <w:t xml:space="preserve">(1) Testungen nach den § 1 Absatz 4 und §§ 2, 3 und 4 Absatz 2 Nummer 1 und 4 können für jeden Einzelfall bis zu einmal pro Person wiederholt werden.</w:t>
      </w:r>
    </w:p>
    <w:p>
      <w:r>
        <w:t xml:space="preserve">(2) Testungen nach § 4 Absatz 2 Nummer 3 können für jeden Einzelfall bis zu einmal bei Tätigkeitsbeginn und ansonsten bis zu einmal alle zwei Wochen wiederholt werden.</w:t>
      </w:r>
    </w:p>
    <w:p>
      <w:r>
        <w:t xml:space="preserve">(3) Testungen nach § 4 Absatz 2 Nummer 2 sollen nur stichprobenartig erfolgen. Die von den Stichproben erfassten Personen können für jeden Einzelfall bis zu einmal pro Person wiederholt getestet werden.</w:t>
      </w:r>
    </w:p>
    <w:p>
      <w:r>
        <w:rPr>
          <w:color w:val="555555"/>
          <w:sz w:val="17"/>
        </w:rPr>
        <w:t xml:space="preserve">Zitiervorschlag: § 5 SARSCoV2IfTestAnsprV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https://recht.nulegal.eu/gesetze/SARSCoV2IfTestAnsprV/5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