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SARSCoV2AMVV — Außerkrafttreten</w:t>
      </w:r>
    </w:p>
    <w:p>
      <w:r>
        <w:rPr>
          <w:color w:val="555555"/>
          <w:sz w:val="18"/>
        </w:rPr>
        <w:t xml:space="preserve">SARS-CoV-2-Arzneimittelversorgungsverordnung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Diese Verordnung tritt vorbehaltlich des Satzes 2 mit Ablauf des 31. Dezember 2023 außer Kraft. Die §§ 1 bis 4, 5 und 6 treten mit Ablauf des 7. April 2023 außer Kraft.</w:t>
      </w:r>
    </w:p>
    <w:p>
      <w:r>
        <w:rPr>
          <w:color w:val="555555"/>
          <w:sz w:val="17"/>
        </w:rPr>
        <w:t xml:space="preserve">Zitiervorschlag: § 9 SARSCoV2AMVV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https://recht.nulegal.eu/gesetze/SARSCoV2AMVV/9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