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SARSCoV2AMVV — Ausnahmen vom Fünften Buch Sozialgesetzbuch</w:t>
      </w:r>
    </w:p>
    <w:p>
      <w:r>
        <w:rPr>
          <w:color w:val="555555"/>
          <w:sz w:val="18"/>
        </w:rPr>
        <w:t xml:space="preserve">SARS-CoV-2-Arzneimittelversorgungsverordnung</w:t>
      </w:r>
    </w:p>
    <w:p>
      <w:r>
        <w:rPr>
          <w:color w:val="555555"/>
          <w:sz w:val="18"/>
        </w:rPr>
        <w:t xml:space="preserve">Außer Kraft: § 1 ist seit 25.06.2023 nicht mehr im SARSCoV2AMVV enthalten. Angezeigt wird die letzte bekannte Fassung, Stand 26.11.2022.</w:t>
      </w:r>
    </w:p>
    <w:p>
      <w:r>
        <w:t xml:space="preserve">(1) Abweichend von § 35c Absatz 2 Satz 3 zweiter Halbsatz des Fünften Buches Sozialgesetzbuch kann der Gemeinsame Bundesausschuss bei klinischen Studien zur zulassungsüberschreitenden Anwendung von Arzneimitteln zur Behandlung von COVID-19-Erkrankungen nur innerhalb von fünf Werktagen nach Eingang der Mitteilung widersprechen.</w:t>
      </w:r>
    </w:p>
    <w:p>
      <w:r>
        <w:t xml:space="preserve">(2) Abweichend von § 39 Absatz 1a Satz 8 erster Halbsatz des Fünften Buches Sozialgesetzbuch dürfen Krankenhäuser bei der Verordnung eines Arzneimittels eine Packung bis zum größten Packungsgrößenkennzeichen gemäß der Packungsgrößenverordnung verordnen. Abweichend von § 39 Absatz 1a Satz 8 zweiter Halbsatz des Fünften Buches Sozialgesetzbuch können Krankenhäuser die in § 92 Absatz 1 Satz 2 Nummer 6 des Fünften Buches Sozialgesetzbuch genannten Leistungen für die Versorgung in einem Zeitraum von bis zu 14 Tagen verordnen und die Arbeitsunfähigkeit feststellen.</w:t>
      </w:r>
    </w:p>
    <w:p>
      <w:r>
        <w:t xml:space="preserve">(3) Abweichend von § 129 Absatz 1 Satz 1 bis 5 und 8 des Fünften Buches Sozialgesetzbuch und dem Rahmenvertrag nach § 129 Absatz 2 des Fünften Buches Sozialgesetzbuch dürfen Apotheken, wenn das auf der Grundlage der Verordnung abzugebende Arzneimittel in der Apotheke nicht vorrätig ist, an den Versicherten ein in der Apotheke vorrätiges wirkstoffgleiches Arzneimittel abgeben; ist kein wirkstoffgleiches Arzneimittel in der Apotheke vorrätig und ist das abzugebende Arzneimittel auch nicht lieferbar, darf ein lieferbares wirkstoffgleiches Arzneimittel abgegeben werden. Sofern weder das auf der Grundlage der Verordnung abzugebende noch ein wirkstoffgleiches Arzneimittel vorrätig oder lieferbar ist, dürfen Apotheken nach Rücksprache mit dem verordnenden Arzt ein pharmakologisch-therapeutisch vergleichbares Arzneimittel an den Versicherten abgeben; dies ist auf dem Arzneiverordnungsblatt zu dokumentieren. Satz 2 gilt entsprechend für den Fall, dass der verordnende Arzt den Austausch des Arzneimittels ausgeschlossen hat. Apotheken dürfen ohne Rücksprache mit dem verordnenden Arzt von der ärztlichen Verordnung im Hinblick auf Folgendes abweichen, sofern dadurch die verordnete Gesamtmenge des Wirkstoffs nicht überschritten wird:</w:t>
      </w:r>
    </w:p>
    <w:p>
      <w:pPr>
        <w:ind w:left="420"/>
      </w:pPr>
      <w:r>
        <w:t xml:space="preserve">1. die Packungsgröße, auch mit einer Überschreitung der nach der Packungsgrößenverordnung definierten Messzahl,</w:t>
      </w:r>
    </w:p>
    <w:p>
      <w:pPr>
        <w:ind w:left="420"/>
      </w:pPr>
      <w:r>
        <w:t xml:space="preserve">2. die Packungsanzahl,</w:t>
      </w:r>
    </w:p>
    <w:p>
      <w:pPr>
        <w:ind w:left="420"/>
      </w:pPr>
      <w:r>
        <w:t xml:space="preserve">3. die Entnahme von Teilmengen aus Fertigarzneimittelpackungen, soweit die abzugebende Packungsgröße nicht lieferbar ist, und</w:t>
      </w:r>
    </w:p>
    <w:p>
      <w:pPr>
        <w:ind w:left="420"/>
      </w:pPr>
      <w:r>
        <w:t xml:space="preserve">4. die Wirkstärke, sofern keine pharmazeutischen Bedenken bestehen.</w:t>
      </w:r>
    </w:p>
    <w:p>
      <w:r>
        <w:t xml:space="preserve">Im Fall der Verschreibung von Substitutionsmitteln nach § 5 Absatz 6 der Betäubungsmittel-Verschreibungsverordnung findet Satz 4 Nummer 1, 2 und 4 keine Anwendung.</w:t>
      </w:r>
    </w:p>
    <w:p>
      <w:r>
        <w:t xml:space="preserve">(4) Abweichend von den Regelungen in dem Rahmenvertrag nach § 129 Absatz 2 in Verbindung mit Absatz 4 des Fünften Buches Sozialgesetzbuch findet in den Fällen des Absatzes 3 keine Beanstandung und Retaxation statt.</w:t>
      </w:r>
    </w:p>
    <w:p>
      <w:r>
        <w:t xml:space="preserve">(5) Abweichend von § 129 Absatz 5c Satz 1 bis 5 des Fünften Buches Sozialgesetzbuch gilt in den Fällen, in denen ein Wirkstoff zu dem nach § 129 Absatz 5c Satz 1 bis 5 des Fünften Buches Sozialgesetzbuch vereinbarten oder festgesetzten Preis nicht verfügbar ist, § 129 Absatz 5c Satz 6 bis 12 des Fünften Buches Sozialgesetzbuch entsprechend.</w:t>
      </w:r>
    </w:p>
    <w:p>
      <w:r>
        <w:rPr>
          <w:color w:val="555555"/>
          <w:sz w:val="17"/>
        </w:rPr>
        <w:t xml:space="preserve">Zitiervorschlag: § 1 SARSCoV2AMVV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https://recht.nulegal.eu/gesetze/SARSCoV2AMVV/1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