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SAG — Umwandlungssatz; Verordnungsermächtigung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Der Faktor, zu dem ein relevantes Kapitalinstrument oder eine berücksichtigungsfähige Verbindlichkeit nach § 65 Absatz 4 oder eine bail-in-fähige Verbindlichkeit im Rahmen der Anwendung des Instruments der Beteiligung der Inhaber relevanter Kapitalinstrumente oder des Instruments der Gläubigerbeteiligung umgewandelt wird (Umwandlungssatz), muss wertangemessen sein.</w:t>
      </w:r>
    </w:p>
    <w:p>
      <w:r>
        <w:t xml:space="preserve">(2) Um den Grundsätzen des § 68 Absatz 1 Rechnung zu tragen, berücksichtigt die Abwicklungsbehörde bei der Festlegung des Umwandlungssatzes den Nennwert und die Rangstellung, welche die Forderung und die relevanten Kapitalinstrumente in einem Insolvenzverfahren einnehmen würden.</w:t>
      </w:r>
    </w:p>
    <w:p>
      <w:r>
        <w:t xml:space="preserve">(3) Das Bundesministerium der Finanzen wird ermächtigt, durch Rechtsverordnung, die nicht der Zustimmung des Bundesrates bedarf, nähere Bestimmungen darüber zu erlassen, wie betroffene Gläubiger durch den Umwandlungssatz angemessen entschädigt werden können, insbesondere auch darüber, wie der Priorität vorrangiger Verbindlichkeiten nach geltendem Insolvenzrecht durch den Umwandlungssatz Rechnung getragen werden kann. Das Bundesministerium der Finanzen kann die Ermächtigung durch Rechtsverordnung auf die Abwicklungsbehörde übertragen.</w:t>
      </w:r>
    </w:p>
    <w:p>
      <w:r>
        <w:rPr>
          <w:color w:val="555555"/>
          <w:sz w:val="17"/>
        </w:rPr>
        <w:t xml:space="preserve">Zitiervorschlag: § 98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