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SAG — Haftungskaskade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(1) Anteile, andere Instrumente des harten Kernkapitals, relevante Kapitalinstrumente und berücksichtigungsfähige Verbindlichkeiten nach § 65 Absatz 4 sowie bail-in-fähige Verbindlichkeiten werden in folgender Reihenfolge zur Haftung herangezogen:</w:t>
      </w:r>
    </w:p>
    <w:p>
      <w:pPr>
        <w:ind w:left="420"/>
      </w:pPr>
      <w:r>
        <w:t xml:space="preserve">1. Anteile und andere Instrumente des harten Kernkapitals,</w:t>
      </w:r>
    </w:p>
    <w:p>
      <w:pPr>
        <w:ind w:left="420"/>
      </w:pPr>
      <w:r>
        <w:t xml:space="preserve">2. Instrumente des zusätzlichen Kernkapitals,</w:t>
      </w:r>
    </w:p>
    <w:p>
      <w:pPr>
        <w:ind w:left="420"/>
      </w:pPr>
      <w:r>
        <w:t xml:space="preserve">3. Instrumente des Ergänzungskapitals,</w:t>
      </w:r>
    </w:p>
    <w:p>
      <w:pPr>
        <w:ind w:left="420"/>
      </w:pPr>
      <w:r>
        <w:t xml:space="preserve">4. berücksichtigungsfähige Verbindlichkeiten nach § 65 Absatz 4 sowie bail-in-fähige Verbindlichkeiten.</w:t>
      </w:r>
    </w:p>
    <w:p>
      <w:r>
        <w:t xml:space="preserve">Dabei wird eine der in Satz 1 Nummer 2 bis 4 genannten Kategorien erst herangezogen, wenn durch Maßnahmen der Abwicklungsbehörde in der jeweils vorhergehenden Kategorie der betreffende nach § 96 Absatz 1 festgelegte Betrag nicht erreicht wurde. Innerhalb der berücksichtigungsfähigen Verbindlichkeiten nach § 65 Absatz 4 und bail‑in-fähigen Verbindlichkeiten gilt Satz 1 entsprechend für den Rang, den die Verbindlichkeiten als Insolvenzforderungen eingenommen hätten.</w:t>
      </w:r>
    </w:p>
    <w:p>
      <w:r>
        <w:t xml:space="preserve">(2) Bei der Anwendung des Instruments der Beteiligung der Inhaber relevanter Kapitalinstrumente oder des Instruments der Gläubigerbeteiligung weist die Abwicklungsbehörde die Verluste, die in dem betreffenden nach § 96 Absatz 1 festgelegten Betrag ausgedrückt sind, unter Beachtung der Haftungskaskade gleichmäßig den Anteilen oder anderen Instrumenten des harten Kernkapitals, des zusätzlichen Kernkapitals oder des Ergänzungskapitals sowie den berücksichtigungsfähigen Verbindlichkeiten nach § 65 Absatz 4 und bail-in-fähigen Verbindlichkeiten gleichen Ranges zu. Zu diesem Zweck schreibt sie den Nennwert dieser Anteile und den Nennwert oder den noch ausstehenden Restbetrag der anderen Kapitalinstrumente und berücksichtigungsfähigen Verbindlichkeiten nach § 65 Absatz 4 oder dieser bail-in-fähigen Verbindlichkeiten im gleichen Umfang proportional zu ihrem Nennwert herab oder wandelt sie diese im gleichen Umfang proportional zu ihrem Nennwert um. Satz 1 gilt nicht, wenn eine andere Verlustverteilung innerhalb von Verbindlichkeiten des gleichen Ranges gemäß § 92 Absatz 1 zulässig ist.</w:t>
      </w:r>
    </w:p>
    <w:p>
      <w:r>
        <w:rPr>
          <w:color w:val="555555"/>
          <w:sz w:val="17"/>
        </w:rPr>
        <w:t xml:space="preserve">Zitiervorschlag: § 97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