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SAG — Ausgleichsbeiträge des Restrukturierungsfonds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28.12.2020 (konsolidierte Textfassung, kein amtliches Inkrafttretensdatum)</w:t>
      </w:r>
    </w:p>
    <w:p>
      <w:r>
        <w:t xml:space="preserve">(1) Für die nach § 92 ganz oder teilweise ausgeschlossenen Verbindlichkeiten kann nach Maßgabe des § 7a des Restrukturierungsfondsgesetzes ein Ausgleichsbeitrag des Restrukturierungsfonds erbracht werden.</w:t>
      </w:r>
    </w:p>
    <w:p>
      <w:r>
        <w:t xml:space="preserve">(2) Unter außergewöhnlichen Umständen kann die Abwicklungsbehörde für eine weitere Finanzierung der Abwicklung alternative Finanzierungsquellen in Anspruch nehmen, wenn</w:t>
      </w:r>
    </w:p>
    <w:p>
      <w:pPr>
        <w:ind w:left="420"/>
      </w:pPr>
      <w:r>
        <w:t xml:space="preserve">1. die in § 7a Absatz 4 des Restrukturierungsfondsgesetzes genannte Obergrenze von 5 Prozent erreicht worden ist und</w:t>
      </w:r>
    </w:p>
    <w:p>
      <w:pPr>
        <w:ind w:left="420"/>
      </w:pPr>
      <w:r>
        <w:t xml:space="preserve">2. alle unbesicherten bail-in-fähigen Verbindlichkeiten mit Ausnahme von entschädigungsfähigen Einlagen, die nicht gemäß § 92 ausgeschlossen worden sind, vollständig abgeschrieben oder umgewandelt worden sind.</w:t>
      </w:r>
    </w:p>
    <w:p>
      <w:r>
        <w:rPr>
          <w:color w:val="555555"/>
          <w:sz w:val="17"/>
        </w:rPr>
        <w:t xml:space="preserve">Zitiervorschlag: § 94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