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SAG — Anwendung des Instruments der Gläubigerbeteiligung in Bezug auf Verbindlichkeiten aus Derivaten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In Bezug auf Verbindlichkeiten aus Derivaten ist das Instrument der Gläubigerbeteiligung nur nach oder gleichzeitig mit der Glattstellung der Derivate anwendbar.</w:t>
      </w:r>
    </w:p>
    <w:p>
      <w:r>
        <w:t xml:space="preserve">(2) Die Abwicklungsbehörde ist bei Vorliegen der Abwicklungsvoraussetzungen des § 62 Absatz 1 befugt, Derivateverträge zum Zweck der Anwendung des Instruments der Gläubigerbeteiligung zu kündigen und glattzustellen, es sei denn, eine Verbindlichkeit aus einem Derivat wird gemäß § 92 aus dem Anwendungsbereich des Instruments der Gläubigerbeteiligung ausgenommen.</w:t>
      </w:r>
    </w:p>
    <w:p>
      <w:r>
        <w:t xml:space="preserve">(3) Unterliegen Transaktionen mit Derivaten einer Saldierungsvereinbarung, so bestimmt die Abwicklungsbehörde oder ein unabhängiger Sachverständiger im Rahmen der Bewertung gemäß § 69 auf der Basis der Derivateverträge den Nettowert der Verbindlichkeiten.</w:t>
      </w:r>
    </w:p>
    <w:p>
      <w:r>
        <w:t xml:space="preserve">(4) Den Nettowert von Verbindlichkeiten aus Derivaten bestimmt die Abwicklungsbehörde oder der unabhängige Sachverständige nach Absatz 3 anhand von</w:t>
      </w:r>
    </w:p>
    <w:p>
      <w:pPr>
        <w:ind w:left="420"/>
      </w:pPr>
      <w:r>
        <w:t xml:space="preserve">1. angemessenen Methoden zur Bestimmung des Werts von Derivatekategorien, einschließlich Transaktionen, die Saldierungsvereinbarungen unterliegen;</w:t>
      </w:r>
    </w:p>
    <w:p>
      <w:pPr>
        <w:ind w:left="420"/>
      </w:pPr>
      <w:r>
        <w:t xml:space="preserve">2. Grundsätzen für die Festlegung des Zeitpunkts, zu dem der Wert einer Derivateposition festgestellt werden sollte, und</w:t>
      </w:r>
    </w:p>
    <w:p>
      <w:pPr>
        <w:ind w:left="420"/>
      </w:pPr>
      <w:r>
        <w:t xml:space="preserve">3. geeigneten Methoden für den Vergleich der Höhe der Wertvernichtung, die aus der Glattstellung und der Anwendung des Instruments der Gläubigerbeteiligung auf Derivate resultieren würde, mit der Höhe der Verluste, die für diese Derivate bei der Anwendung des Instruments der Gläubigerbeteiligung entstehen würden.</w:t>
      </w:r>
    </w:p>
    <w:p>
      <w:r>
        <w:t xml:space="preserve">(5) Die Absätze 1 bis 4 gelten entsprechend für Verbindlichkeiten aus Finanzleistungen im Sinne des § 104 Absatz 1 der Insolvenzordnung, die in einem Rahmenvertrag nach § 104 Absatz 3 der Insolvenzordnung zusammengefasst sind.</w:t>
      </w:r>
    </w:p>
    <w:p>
      <w:r>
        <w:rPr>
          <w:color w:val="555555"/>
          <w:sz w:val="17"/>
        </w:rPr>
        <w:t xml:space="preserve">Zitiervorschlag: § 93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