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SAG — Bail-in-fähige Verbindlichkeiten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Das Instrument der Gläubigerbeteiligung ist auf alle Verbindlichkeiten eines Instituts oder eines gruppenangehörigen Unternehmens anzuwenden, die weder gemäß Absatz 2 vom Anwendungsbereich des Instruments der Gläubigerbeteiligung ausgenommen sind noch relevante Kapitalinstrumente sind (bail-in-fähige Verbindlichkeiten).</w:t>
      </w:r>
    </w:p>
    <w:p>
      <w:r>
        <w:t xml:space="preserve">(2) Folgende Verbindlichkeiten sind vom Anwendungsbereich des Instruments der Gläubigerbeteiligung ausgenommen, und zwar unabhängig davon, ob sie dem Recht eines Mitgliedstaats oder eines Drittstaats unterliegen:</w:t>
      </w:r>
    </w:p>
    <w:p>
      <w:pPr>
        <w:ind w:left="420"/>
      </w:pPr>
      <w:r>
        <w:t xml:space="preserve">1. gedeckte Einlagen bis zur Höhe des Deckungsniveaus gemäß § 8 des Einlagensicherungsgesetzes; für Einlagen nach § 8 Absatz 2 des Einlagensicherungsgesetzes gilt dies nur, sofern der Einleger diese binnen einer von der Abwicklungsbehörde festgelegten angemessenen Frist gesondert schriftlich unter Nachweis der anspruchsbegründenden Tatsachen glaubhaft macht; mit der Fristsetzung ist er auf die Anwendung des Instruments der Gläubigerbeteiligung und die Erforderlichkeit der gesonderten Geltendmachung und des Nachweises der Voraussetzungen des § 8 Absatz 2 des Einlagensicherungsgesetzes hinzuweisen;</w:t>
      </w:r>
    </w:p>
    <w:p>
      <w:pPr>
        <w:ind w:left="420"/>
      </w:pPr>
      <w:r>
        <w:t xml:space="preserve">2. besicherte Verbindlichkeiten einschließlich Verbindlichkeiten aus gedeckten Schuldverschreibungen, einschließlich von in Deckung befindlichen Derivategeschäften im Sinne des § 4 Absatz 3 Satz 2 des Pfandbriefgesetzes, soweit sie mindestens durch den Wert der hierfür bestellten Sicherung besichert oder gedeckt sind; die Abwicklungsbehörde kann das Instrument der Gläubigerbeteiligung nach § 90 auf einen Teil der besicherten Verbindlichkeit, der den Wert der Sicherung oder Deckung übersteigt, anwenden;</w:t>
      </w:r>
    </w:p>
    <w:p>
      <w:pPr>
        <w:ind w:left="420"/>
      </w:pPr>
      <w:r>
        <w:t xml:space="preserve">3. Verbindlichkeiten aus der Verwahrung von Kundenvermögen oder Kundengeldern durch das Institut oder das gruppenangehörige Unternehmen, sofern dem betreffenden Kunden in einem Insolvenzverfahren über das Vermögen des Instituts in Bezug auf das verwaltete Vermögen oder die verwalteten Gelder ein Aussonderungs- oder Absonderungsrecht zusteht; dies gilt auch für Kundenvermögen oder Kundengelder, die für Organismen für gemeinsame Anlagen in Wertpapieren und alternative Investmentfonds im Sinne des Kapitalanlagegesetzbuchs gehalten werden;</w:t>
      </w:r>
    </w:p>
    <w:p>
      <w:pPr>
        <w:ind w:left="420"/>
      </w:pPr>
      <w:r>
        <w:t xml:space="preserve">4. Verbindlichkeiten aus einem Treuhandverhältnis zwischen dem Institut oder dem gruppenangehörigen Unternehmen als Treuhänder und einer anderen Person als Treugeber, sofern dem Treugeber in Bezug auf das Treugut in einem Insolvenzverfahren ein Aussonderungsrecht zustehen würde;</w:t>
      </w:r>
    </w:p>
    <w:p>
      <w:pPr>
        <w:ind w:left="420"/>
      </w:pPr>
      <w:r>
        <w:t xml:space="preserve">5. Verbindlichkeiten gegenüber anderen Instituten, die nicht der Gruppe des in Abwicklung befindlichen Instituts oder gruppenangehörigen Unternehmens angehören, mit einer Ursprungslaufzeit von weniger als sieben Tagen;</w:t>
      </w:r>
    </w:p>
    <w:p>
      <w:pPr>
        <w:ind w:left="420"/>
      </w:pPr>
      <w:r>
        <w:t xml:space="preserve">6. Verbindlichkeiten mit einer Restlaufzeit von weniger als sieben Tagen gegenüber Systemen im Sinne des § 1 Absatz 16 des Kreditwesengesetzes, Systembetreibern im Sinne des § 1 Absatz 16a des Kreditwesengesetzes, wenn diese Verbindlichkeiten aus einer Teilnahme an dem System resultieren, oder gegenüber zentralen Gegenparteien, die in der Europäischen Union gemäß Artikel 14 der Verordnung (EU) Nr. 648/2012 zugelassen sind, und zentralen Gegenparteien aus Drittstaaten, die von der Europäischen Wertpapier- und Marktaufsichtsbehörde gemäß Artikel 25 der genannten Verordnung anerkannt wurden;</w:t>
      </w:r>
    </w:p>
    <w:p>
      <w:pPr>
        <w:ind w:left="420"/>
      </w:pPr>
      <w:r>
        <w:t xml:space="preserve">7. Verbindlichkeiten gegenüber</w:t>
      </w:r>
    </w:p>
    <w:p>
      <w:pPr>
        <w:ind w:left="780"/>
      </w:pPr>
      <w:r>
        <w:t xml:space="preserve">a) Beschäftigten auf Grund ausstehender Gehaltsforderungen, Rentenleistungen oder anderer fester Vergütungen mit Ausnahme von</w:t>
      </w:r>
    </w:p>
    <w:p>
      <w:pPr>
        <w:ind w:left="1140"/>
      </w:pPr>
      <w:r>
        <w:t xml:space="preserve">aa) variablen Vergütungsbestandteilen, die nicht durch Tarifvertrag oder in seinem Geltungsbereich durch Vereinbarung der Arbeitsvertragsparteien über die Anwendung der tarifvertraglichen Regelungen oder auf Grund eines Tarifvertrags in einer Betriebs- oder Dienstvereinbarung geregelt sind, und</w:t>
      </w:r>
    </w:p>
    <w:p>
      <w:pPr>
        <w:ind w:left="1140"/>
      </w:pPr>
      <w:r>
        <w:t xml:space="preserve">bb) variablen Vergütungsbestandteilen, die in Bezug auf Geschäftsleiter und Geschäftsleiterinnen sowie Mitarbeiter und Mitarbeiterinnen im Sinne des § 18 Absatz 1 der Institutsvergütungsverordnung in der jeweils geltenden Fassung vereinbart sind,</w:t>
      </w:r>
    </w:p>
    <w:p>
      <w:pPr>
        <w:ind w:left="780"/>
      </w:pPr>
      <w:r>
        <w:t xml:space="preserve">b) Geschäfts- oder Handelsgläubigern auf Grund von Lieferungen und Leistungen, die für den laufenden Geschäftsbetrieb des Instituts oder des gruppenangehörigen Unternehmens von wesentlicher Bedeutung sind, einschließlich Diensten der Informationstechnologie, Versorgungsdienstleistungen sowie auf Grund von Miete, Bewirtschaftung und Instandhaltung von Gebäuden,</w:t>
      </w:r>
    </w:p>
    <w:p>
      <w:pPr>
        <w:ind w:left="780"/>
      </w:pPr>
      <w:r>
        <w:t xml:space="preserve">c) Einlagensicherungssystemen auf Grund von Beitragspflichten;</w:t>
      </w:r>
    </w:p>
    <w:p>
      <w:pPr>
        <w:ind w:left="420"/>
      </w:pPr>
      <w:r>
        <w:t xml:space="preserve">8. Verbindlichkeiten gegenüber Instituten oder gruppenangehörigen Unternehmen, die Teil derselben Abwicklungsgruppe, selbst aber keine Abwicklungseinheiten sind, unabhängig von ihrer Laufzeit; dies gilt nicht, wenn diese Verbindlichkeiten im Rahmen des regulären Insolvenzverfahrens einen gleichen oder einen niedrigeren Rang einnehmen als Verbindlichkeiten gemäß § 46f Absatz 6 und 9 des Kreditwesengesetzes; in diesem Fall bewertet die Abwicklungsbehörde des betreffenden Tochterunternehmens, das keine Abwicklungseinheit ist, ob der Betrag der Posten, die die Anforderungen des § 49f Absatz 2 erfüllen, ausreicht, um die Durchführung der bevorzugten Abwicklungsstrategie zu unterstützen.</w:t>
      </w:r>
    </w:p>
    <w:p>
      <w:r>
        <w:rPr>
          <w:color w:val="555555"/>
          <w:sz w:val="17"/>
        </w:rPr>
        <w:t xml:space="preserve">Zitiervorschlag: § 91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