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SAG — Instrument der Gläubigerbeteiligung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28.12.2020 (konsolidierte Textfassung, kein amtliches Inkrafttretensdatum)</w:t>
      </w:r>
    </w:p>
    <w:p>
      <w:r>
        <w:t xml:space="preserve">Liegen bei einem Institut oder einem gruppenangehörigen Unternehmen die Abwicklungsvoraussetzungen gemäß § 62 oder § 64 vor, so kann die Abwicklungsbehörde nach Maßgabe der nachfolgenden Bestimmungen anordnen, dass</w:t>
      </w:r>
    </w:p>
    <w:p>
      <w:pPr>
        <w:ind w:left="420"/>
      </w:pPr>
      <w:r>
        <w:t xml:space="preserve">1. bail-in-fähige Verbindlichkeiten des Instituts oder des gruppenangehörigen Unternehmens umgewandelt werden in Anteile oder in andere Instrumente des harten Kernkapitals an</w:t>
      </w:r>
    </w:p>
    <w:p>
      <w:pPr>
        <w:ind w:left="780"/>
      </w:pPr>
      <w:r>
        <w:t xml:space="preserve">a) diesem Institut oder gruppenangehörigen Unternehmen,</w:t>
      </w:r>
    </w:p>
    <w:p>
      <w:pPr>
        <w:ind w:left="780"/>
      </w:pPr>
      <w:r>
        <w:t xml:space="preserve">b) einem relevanten Mutterinstitut oder</w:t>
      </w:r>
    </w:p>
    <w:p>
      <w:pPr>
        <w:ind w:left="780"/>
      </w:pPr>
      <w:r>
        <w:t xml:space="preserve">c) einem Brückeninstitut, auf das Vermögenswerte, Rechte oder Verbindlichkeiten des Instituts oder des gruppenangehörigen Unternehmens übertragen werden, oder</w:t>
      </w:r>
    </w:p>
    <w:p>
      <w:pPr>
        <w:ind w:left="420"/>
      </w:pPr>
      <w:r>
        <w:t xml:space="preserve">2. im Fall des § 96 Absatz 1 Nummer 1 auch der Nennwert oder der ausstehende Restbetrag von bail-in-fähigen Verbindlichkeiten des Instituts oder des gruppenangehörigen Unternehmens ganz oder teilweise herabgeschrieben wird; im Fall des § 96 Absatz 7 kann eine Herabschreibung ohne Durchführung einer Umwandlung erfolgen.</w:t>
      </w:r>
    </w:p>
    <w:p>
      <w:r>
        <w:rPr>
          <w:color w:val="555555"/>
          <w:sz w:val="17"/>
        </w:rPr>
        <w:t xml:space="preserve">Zitiervorschlag: § 90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