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SAG — Kontrollbefugnisse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Vorliegen der Abwicklungsvoraussetzungen kann die Abwicklungsbehörde zur Vornahme einer Abwicklungsmaßnahme direkt oder über einen Sonderverwalter im Sinne des § 87 die Kontrolle über das in Abwicklung befindliche Institut und gruppenangehörige Unternehmen übernehmen, um</w:t>
      </w:r>
    </w:p>
    <w:p>
      <w:pPr>
        <w:ind w:left="420"/>
      </w:pPr>
      <w:r>
        <w:t xml:space="preserve">1. das in Abwicklung befindliche Institut oder gruppenangehörige Unternehmen mit allen Befugnissen der Anteilsinhaber, der Geschäftsleitung und des Aufsichts- oder Verwaltungsorgans des in Abwicklung befindlichen Instituts betreiben und die Tätigkeiten und Dienstleistungen des Instituts erbringen zu können,</w:t>
      </w:r>
    </w:p>
    <w:p>
      <w:pPr>
        <w:ind w:left="420"/>
      </w:pPr>
      <w:r>
        <w:t xml:space="preserve">2. Vermögenswerte und Eigentum des in Abwicklung befindlichen Instituts oder gruppenangehörigen Unternehmens verwalten und über diese Vermögenswerte und das Eigentum verfügen zu können.</w:t>
      </w:r>
    </w:p>
    <w:p>
      <w:r>
        <w:t xml:space="preserve">(2) Die Abwicklungsbehörde und der Sonderverwalter gelten nicht als Geschäftsleiter im Sinne des § 25c des Kreditwesengesetzes und nicht als Aufsichts- oder Verwaltungsorgan im Sinne des § 25d des Kreditwesengesetzes.</w:t>
      </w:r>
    </w:p>
    <w:p>
      <w:r>
        <w:rPr>
          <w:color w:val="555555"/>
          <w:sz w:val="17"/>
        </w:rPr>
        <w:t xml:space="preserve">Zitiervorschlag: § 86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