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SAG — Befugnis zur vorübergehenden Aussetzung von Beendigungsrechten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Bei Vorliegen der Abwicklungsvoraussetzungen kann die Abwicklungsbehörde das Recht einer Partei, einen Vertrag mit einem in Abwicklung befindlichen Institut oder gruppenangehörigen Unternehmen zu beenden, aussetzen für den Zeitraum ab der öffentlichen Bekanntgabe dieser Aussetzung gemäß § 137 Absatz 1 bis zum Ablauf des auf diese Bekanntgabe folgenden Geschäftstages.</w:t>
      </w:r>
    </w:p>
    <w:p>
      <w:r>
        <w:t xml:space="preserve">(2) Die Abwicklungsbehörde kann das Recht einer Partei, einen Vertrag mit einem gruppenangehörigen Unternehmen zu beenden, das derselben Gruppe angehört wie ein in Abwicklung befindliches gruppenangehöriges Unternehmen, aussetzen für den Zeitraum ab der öffentlichen Bekanntgabe gemäß § 137 Absatz 1 bis zum Ablauf des auf diese Bekanntgabe folgenden Geschäftstages in dem Mitgliedstaat, in dem das gruppenangehörige Unternehmen, mit dem der betreffende Vertrag besteht, seinen Sitz hat, wenn folgende Voraussetzungen vorliegen:</w:t>
      </w:r>
    </w:p>
    <w:p>
      <w:pPr>
        <w:ind w:left="420"/>
      </w:pPr>
      <w:r>
        <w:t xml:space="preserve">1. die Erfüllung der sich aus dem Vertrag ergebenden Verpflichtungen wird von dem in Abwicklung befindlichen gruppenangehörigen Unternehmen garantiert oder auf andere Art und Weise sichergestellt;</w:t>
      </w:r>
    </w:p>
    <w:p>
      <w:pPr>
        <w:ind w:left="420"/>
      </w:pPr>
      <w:r>
        <w:t xml:space="preserve">2. das Beendigungsrecht knüpft ausschließlich auf das Vorliegen von Insolvenzgründen oder die Abwicklungsvoraussetzungen oder die Anordnung oder Durchführung von Abwicklungsmaßnahmen an und</w:t>
      </w:r>
    </w:p>
    <w:p>
      <w:pPr>
        <w:ind w:left="420"/>
      </w:pPr>
      <w:r>
        <w:t xml:space="preserve">3. für den Fall, dass eine Übertragung in Bezug auf das in Abwicklung befindliche Institut oder gruppenangehörige Unternehmen angeordnet wurde oder angeordnet werden kann,</w:t>
      </w:r>
    </w:p>
    <w:p>
      <w:pPr>
        <w:ind w:left="780"/>
      </w:pPr>
      <w:r>
        <w:t xml:space="preserve">a) alle mit diesem Vertrag verbundenen Rechte und Pflichten des in Abwicklung befindlichen Instituts oder des gruppenangehörigen Unternehmens wurden auf den übernehmenden Rechtsträger übertragen und von ihm übernommen oder können auf ihn übertragen und von ihm übernommen werden oder</w:t>
      </w:r>
    </w:p>
    <w:p>
      <w:pPr>
        <w:ind w:left="780"/>
      </w:pPr>
      <w:r>
        <w:t xml:space="preserve">b) die Abwicklungsbehörde kann einen anderweitigen Schutz der Ansprüche der anderen Vertragsparteien bewirken.</w:t>
      </w:r>
    </w:p>
    <w:p>
      <w:r>
        <w:t xml:space="preserve">(3) Bei einer Anordnung nach Absatz 1 oder 2 berücksichtigt die Abwicklungsbehörde die möglichen Auswirkungen auf das ordnungsgemäße Funktionieren der Finanzmärkte.</w:t>
      </w:r>
    </w:p>
    <w:p>
      <w:r>
        <w:t xml:space="preserve">(4) Eine Anordnung nach Absatz 1 oder 2 erfolgt nicht gegenüber</w:t>
      </w:r>
    </w:p>
    <w:p>
      <w:pPr>
        <w:ind w:left="420"/>
      </w:pPr>
      <w:r>
        <w:t xml:space="preserve">1. Teilnehmern von Systemen im Sinne des § 1 Absatz 16 des Kreditwesengesetzes,</w:t>
      </w:r>
    </w:p>
    <w:p>
      <w:pPr>
        <w:ind w:left="420"/>
      </w:pPr>
      <w:r>
        <w:t xml:space="preserve">2. Systembetreibern im Sinne des § 1 Absatz 16a des Kreditwesengesetzes,</w:t>
      </w:r>
    </w:p>
    <w:p>
      <w:pPr>
        <w:ind w:left="420"/>
      </w:pPr>
      <w:r>
        <w:t xml:space="preserve">3. zentralen Gegenparteien im Sinne des § 1 Absatz 31 des Kreditwesengesetzes, die gemäß Artikel 14 der Verordnung (EU) Nr. 648/2012 in der Union zugelassen sind,</w:t>
      </w:r>
    </w:p>
    <w:p>
      <w:pPr>
        <w:ind w:left="420"/>
      </w:pPr>
      <w:r>
        <w:t xml:space="preserve">4. zentralen Gegenparteien aus Drittstaaten, die von der Europäischen Wertpapier- und Marktaufsichtsbehörde gemäß Artikel 25 der Verordnung (EU) Nr. 648/2012 anerkannt sind, und</w:t>
      </w:r>
    </w:p>
    <w:p>
      <w:pPr>
        <w:ind w:left="420"/>
      </w:pPr>
      <w:r>
        <w:t xml:space="preserve">5. Zentralbanken.</w:t>
      </w:r>
    </w:p>
    <w:p>
      <w:r>
        <w:t xml:space="preserve">(5) Eine Vertragspartei kann vor Ablauf des in Absatz 1 oder 2 genannten Zeitraums von einem Beendigungsrecht nur Gebrauch machen, wenn sie von der Abwicklungsbehörde die Mitteilung erhält, dass die mit dem Vertrag verbundenen Rechte und Pflichten weder auf einen übernehmenden Rechtsträger übertragen werden noch Gegenstand einer Herabschreibung oder Umwandlung bei der Anwendung des Instruments der Gläubigerbeteiligung sind.</w:t>
      </w:r>
    </w:p>
    <w:p>
      <w:r>
        <w:t xml:space="preserve">(6) Auf eine Mitteilung der Abwicklungsbehörde nach Absatz 5 besteht kein Anspruch. Eine Vertragspartei kann nach Ablauf des in Absatz 1 oder 2 genannten Zeitraums, sofern keine Mitteilung nach Absatz 5 ergangen ist, von einem Beendigungsrecht vorbehaltlich der Regelungen der §§ 82 und 144 Gebrauch machen, wenn</w:t>
      </w:r>
    </w:p>
    <w:p>
      <w:pPr>
        <w:ind w:left="420"/>
      </w:pPr>
      <w:r>
        <w:t xml:space="preserve">1. in Fällen, in denen die mit dem Vertrag verbundenen Rechte und Pflichten auf einen übernehmenden Rechtsträger übertragen wurden, die vertraglichen Voraussetzungen für eine Beendigung des Vertrags auch nach Übertragung an den übernehmenden Rechtsträger noch vorliegen;</w:t>
      </w:r>
    </w:p>
    <w:p>
      <w:pPr>
        <w:ind w:left="420"/>
      </w:pPr>
      <w:r>
        <w:t xml:space="preserve">2. in Fällen, in denen die mit dem Vertrag verbundenen Rechte und Pflichten bei dem in Abwicklung befindlichen Institut oder gruppenangehörigen Unternehmen verbleiben und die Abwicklungsbehörde das Instrument der Gläubigerbeteiligung nicht auf das in Abwicklung befindliche Institut oder ein gruppenangehöriges Unternehmen angewendet hat, die vertraglichen Voraussetzungen für eine Beendigung des Vertrags bei Ablauf des in Absatz 1 genannten Zeitraums noch vorliegen.</w:t>
      </w:r>
    </w:p>
    <w:p>
      <w:r>
        <w:t xml:space="preserve">(7) Die Absätze 1 bis 6 gelten entsprechend für sämtliche Beendigungstatbestände, die sich aus einem Vertrag mit einem in Abwicklung befindlichen Institut oder gruppenangehörigen Unternehmen ergeben. Die Aussetzung kann nicht erfolgen, wenn bezüglich des Instituts oder des gruppenangehörigen Unternehmens bereits von der Anordnung nach § 66a Gebrauch gemacht wurde.</w:t>
      </w:r>
    </w:p>
    <w:p>
      <w:r>
        <w:rPr>
          <w:color w:val="555555"/>
          <w:sz w:val="17"/>
        </w:rPr>
        <w:t xml:space="preserve">Zitiervorschlag: § 84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