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 SAG — Befugnis in Bezug auf in Drittstaaten belegene Gegenstände</w:t>
      </w:r>
    </w:p>
    <w:p>
      <w:r>
        <w:rPr>
          <w:color w:val="555555"/>
          <w:sz w:val="18"/>
        </w:rPr>
        <w:t xml:space="preserve">Sanierungs- und Abwicklungsgesetz</w:t>
      </w:r>
    </w:p>
    <w:p>
      <w:r>
        <w:rPr>
          <w:color w:val="555555"/>
          <w:sz w:val="18"/>
        </w:rPr>
        <w:t xml:space="preserve">Stand: 10.06.2019 (konsolidierte Textfassung, kein amtliches Inkrafttretensdatum)</w:t>
      </w:r>
    </w:p>
    <w:p>
      <w:r>
        <w:t xml:space="preserve">(1) Erstreckt sich eine Abwicklungsmaßnahme auch auf Gegenstände oder Verbindlichkeiten, die in einem Drittstaat belegen sind oder die dem Recht eines Drittstaats unterliegen, kann die Abwicklungsbehörde bei Vorliegen der Abwicklungsvoraussetzungen oder der Voraussetzungen nach § 65 anordnen, dass</w:t>
      </w:r>
    </w:p>
    <w:p>
      <w:pPr>
        <w:ind w:left="420"/>
      </w:pPr>
      <w:r>
        <w:t xml:space="preserve">1. die Geschäftsleitung, ein Sonderverwalter im Sinne des § 45c des Kreditwesengesetzes, ein vorläufiger Verwalter im Sinne des § 38, ein Sonderverwalter im Sinne des § 87 oder eine andere Person, die die Kontrolle über das in Abwicklung befindliche Institut oder gruppenangehörige Unternehmen ausübt, und der übernehmende Rechtsträger alle geeigneten und erforderlichen Maßnahmen ergreifen, damit die Übertragung, die Herabschreibung, die Umwandlung oder sonstige Abwicklungsmaßnahmen für die betreffenden Gegenstände und Verbindlichkeiten wirksam werden;</w:t>
      </w:r>
    </w:p>
    <w:p>
      <w:pPr>
        <w:ind w:left="420"/>
      </w:pPr>
      <w:r>
        <w:t xml:space="preserve">2. die Geschäftsleitung, ein Sonderverwalter im Sinne des § 45c des Kreditwesengesetzes, ein vorläufiger Verwalter im Sinne des § 38, ein Sonderverwalter im Sinne des § 87 oder eine andere Person, die die Kontrolle über das in Abwicklung befindliche Institut oder gruppenangehörige Unternehmen ausübt, sicherstellt, dass das Institut oder gruppenangehörige Unternehmen die betreffenden Gegenstände hält oder die betreffenden Verbindlichkeiten im Namen des übernehmenden Rechtsträgers begleicht, bis die Abwicklungsmaßnahme wirksam wird;</w:t>
      </w:r>
    </w:p>
    <w:p>
      <w:pPr>
        <w:ind w:left="420"/>
      </w:pPr>
      <w:r>
        <w:t xml:space="preserve">3. die Aufwendungen des übernehmenden Rechtsträgers, die diesem bei der Durchführung der unter den Nummern 1 und 2 vorgeschriebenen Maßnahmen entstanden sind, soweit sie angemessen sind, nach § 142 Absatz 2 ersetzt werden.</w:t>
      </w:r>
    </w:p>
    <w:p>
      <w:r>
        <w:t xml:space="preserve">(2) Wenn nach Einschätzung der Abwicklungsbehörde die in Absatz 1 vorgesehenen Maßnahmen mit hoher Wahrscheinlichkeit nicht geeignet sind, eine nach dem Recht des Drittstaats wirksame Übertragung, Herabschreibung, Umwandlung oder sonstige Abwicklungsmaßnahme herbeizuführen, obwohl die Geschäftsleiter, Sonderverwalter im Sinne des § 45c des Kreditwesengesetzes, vorläufigen Verwalter im Sinne des § 38, Sonderverwalter im Sinne des § 87 oder anderen Personen, die die Kontrolle über das in Abwicklung befindliche Institut oder gruppenangehörige Unternehmen ausüben, die nach Absatz 1 vorgesehenen Maßnahmen ergreifen, verzichtet die Abwicklungsbehörde insoweit auf die Übertragung, Herabschreibung, Umwandlung oder sonstige Abwicklungsmaßnahme. Hat die Abwicklungsbehörde die Übertragung, Herabschreibung, Umwandlung oder sonstige Abwicklungsmaßnahme bereits angeordnet, so hebt sie diese rückwirkend auf.</w:t>
      </w:r>
    </w:p>
    <w:p>
      <w:r>
        <w:rPr>
          <w:color w:val="555555"/>
          <w:sz w:val="17"/>
        </w:rPr>
        <w:t xml:space="preserve">Zitiervorschlag: § 81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https://recht.nulegal.eu/gesetze/SAG/81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