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SAG — Vertraulichkeit gegenüber Drittstaaten</w:t>
      </w:r>
    </w:p>
    <w:p>
      <w:r>
        <w:rPr>
          <w:color w:val="555555"/>
          <w:sz w:val="18"/>
        </w:rPr>
        <w:t xml:space="preserve">Sanierungs- und Abwicklungsgesetz</w:t>
      </w:r>
    </w:p>
    <w:p>
      <w:r>
        <w:rPr>
          <w:color w:val="555555"/>
          <w:sz w:val="18"/>
        </w:rPr>
        <w:t xml:space="preserve">Stand: 31.03.2026 (konsolidierte Textfassung, kein amtliches Inkrafttretensdatum)</w:t>
      </w:r>
    </w:p>
    <w:p>
      <w:r>
        <w:t xml:space="preserve">(1) Die Abwicklungsbehörde und die im Rahmen dieses Gesetzes tätigen national zuständigen Behörden dürfen Informationen im Sinne des § 4 Absatz 1 nur dann an Drittstaatsbehörden weitergeben, wenn die folgenden Voraussetzungen erfüllt sind:</w:t>
      </w:r>
    </w:p>
    <w:p>
      <w:pPr>
        <w:ind w:left="420"/>
      </w:pPr>
      <w:r>
        <w:t xml:space="preserve">1. für die betreffenden Drittstaatsbehörden gelten Geheimhaltungsvorschriften, welche den Anforderungen dieses Gesetzes mindestens gleichwertig sind; die Beurteilung trifft die weitergebende Behörde gegebenenfalls im Benehmen mit den weiteren betroffenen Behörden;</w:t>
      </w:r>
    </w:p>
    <w:p>
      <w:pPr>
        <w:ind w:left="420"/>
      </w:pPr>
      <w:r>
        <w:t xml:space="preserve">2. die Informationen sind für die jeweiligen Drittstaatsbehörden erforderlich, um die ihnen nach nationalem Recht obliegenden Funktionen, die den in diesem Gesetz vorgesehenen Funktionen vergleichbar sind, auszuüben, und sie werden vorbehaltlich der Offenbarungs- und Verwendungsbefugnisse nach Nummer 1 nicht für einen anderen Zweck verarbeitet;</w:t>
      </w:r>
    </w:p>
    <w:p>
      <w:pPr>
        <w:ind w:left="420"/>
      </w:pPr>
      <w:r>
        <w:t xml:space="preserve">3. personenbezogene Daten werden nur unter den Voraussetzungen des Kapitels V der Verordnung (EU) 2016/679 übermittelt.</w:t>
      </w:r>
    </w:p>
    <w:p>
      <w:r>
        <w:t xml:space="preserve">(2) Aus einem anderen Mitgliedstaat stammende vertrauliche Informationen dürfen die Abwicklungsbehörden und die sonstigen nationalen Behörden nur dann den jeweiligen Drittstaatsbehörden offenlegen, wenn folgende Voraussetzungen erfüllt sind:</w:t>
      </w:r>
    </w:p>
    <w:p>
      <w:pPr>
        <w:ind w:left="420"/>
      </w:pPr>
      <w:r>
        <w:t xml:space="preserve">1. die Aufsichtsbehörde des Mitgliedstaats, aus dem die Information stammt (Ursprungsbehörde), willigt in die Offenlegung ein;</w:t>
      </w:r>
    </w:p>
    <w:p>
      <w:pPr>
        <w:ind w:left="420"/>
      </w:pPr>
      <w:r>
        <w:t xml:space="preserve">2. die Information wird nur für die von der Ursprungsbehörde genehmigten Zwecke offengelegt.</w:t>
      </w:r>
    </w:p>
    <w:p>
      <w:r>
        <w:t xml:space="preserve">Eine aus einem anderen Mitgliedstaat stammende Information ist dann als vertraulich zu betrachten, wenn sie Geheimhaltungsvorschriften gemäß Unionsrecht unterfällt oder nach dem Recht des jeweiligen Mitgliedstaates der Verschwiegenheitspflicht unterliegt.</w:t>
      </w:r>
    </w:p>
    <w:p>
      <w:r>
        <w:rPr>
          <w:color w:val="555555"/>
          <w:sz w:val="17"/>
        </w:rPr>
        <w:t xml:space="preserve">Zitiervorschlag: § 8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