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SAG — Abschließende Bewertung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Eine Bewertung, die nicht sämtliche Anforderungen der §§ 70 bis 73 erfüllt, gilt so lange als vorläufige Bewertung, bis ein sachverständiger und unabhängiger Prüfer nach § 70 eine abschließende Bewertung vorgenommen hat, die sämtliche Anforderungen der §§ 70 bis 73 erfüllt. Die Abwicklungsbehörde hat die abschließende Bewertung unverzüglich zu veranlassen.</w:t>
      </w:r>
    </w:p>
    <w:p>
      <w:r>
        <w:t xml:space="preserve">(2) Die abschließende Bewertung kann separat oder zeitgleich mit der Bewertung gemäß § 146 durch den sachverständigen und unabhängigen Prüfer durchgeführt werden. Sie muss jedoch inhaltlich getrennt von der Bewertung gemäß § 146 erfolgen.</w:t>
      </w:r>
    </w:p>
    <w:p>
      <w:r>
        <w:t xml:space="preserve">(3) Die abschließende Bewertung dient über die Zwecke des § 71 hinaus</w:t>
      </w:r>
    </w:p>
    <w:p>
      <w:pPr>
        <w:ind w:left="420"/>
      </w:pPr>
      <w:r>
        <w:t xml:space="preserve">1. dem Zweck sicherzustellen, dass sämtliche Verluste in Bezug auf Vermögenswerte des Instituts oder des gruppenangehörigen Unternehmens in dessen Büchern vollständig erfasst werden, und</w:t>
      </w:r>
    </w:p>
    <w:p>
      <w:pPr>
        <w:ind w:left="420"/>
      </w:pPr>
      <w:r>
        <w:t xml:space="preserve">2. als Grundlage der Entscheidung, ob Forderungen der Gläubiger oder Inhaber relevanter Kapitalinstrumente wieder heraufzusetzen sind oder ob der Wert der zu entrichtenden Gegenleistung zu erhöhen ist.</w:t>
      </w:r>
    </w:p>
    <w:p>
      <w:r>
        <w:t xml:space="preserve">(4) Fällt die im Rahmen der abschließenden Bewertung durchgeführte Schätzung des Nettovermögenswerts des Instituts oder des gruppenangehörigen Unternehmens höher aus als die im Rahmen der vorläufigen Bewertung durchgeführte Schätzung des Nettovermögenswerts, so kann die Abwicklungsbehörde</w:t>
      </w:r>
    </w:p>
    <w:p>
      <w:pPr>
        <w:ind w:left="420"/>
      </w:pPr>
      <w:r>
        <w:t xml:space="preserve">1. ihre Befugnis zur Wiederheraufsetzung des Werts der Forderungen der Gläubiger und der Inhaber der relevanten Kapitalinstrumente, die auf Basis der vorläufigen Bewertung durch Anwendung der Instrumente der Beteiligung der Inhaber relevanter Kapitalinstrumente und der Gläubigerbeteiligung herabgeschrieben wurden, ausüben;</w:t>
      </w:r>
    </w:p>
    <w:p>
      <w:pPr>
        <w:ind w:left="420"/>
      </w:pPr>
      <w:r>
        <w:t xml:space="preserve">2. das Brückeninstitut oder die Vermögensverwaltungsgesellschaft anweisen, eine zusätzliche angemessene Zahlung als weitere Gegenleistung in Bezug auf die Vermögenswerte, Rechte oder Verbindlichkeiten an das in Abwicklung befindliche Institut oder gruppenangehörige Unternehmen oder in Bezug auf Anteile oder Eigentumstitel an die Inhaber der Anteile oder anderen Eigentumstitel zu entrichten.</w:t>
      </w:r>
    </w:p>
    <w:p>
      <w:r>
        <w:rPr>
          <w:color w:val="555555"/>
          <w:sz w:val="17"/>
        </w:rPr>
        <w:t xml:space="preserve">Zitiervorschlag: § 75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