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SAG — Zwecke der Bewertung</w:t>
      </w:r>
    </w:p>
    <w:p>
      <w:r>
        <w:rPr>
          <w:color w:val="555555"/>
          <w:sz w:val="18"/>
        </w:rPr>
        <w:t xml:space="preserve">Sanierungs- und Abwicklungsgesetz</w:t>
      </w:r>
    </w:p>
    <w:p>
      <w:r>
        <w:rPr>
          <w:color w:val="555555"/>
          <w:sz w:val="18"/>
        </w:rPr>
        <w:t xml:space="preserve">Stand: 28.12.2020 (konsolidierte Textfassung, kein amtliches Inkrafttretensdatum)</w:t>
      </w:r>
    </w:p>
    <w:p>
      <w:r>
        <w:t xml:space="preserve">Die Bewertung dient der Abwicklungsbehörde als Beurteilungsgrundlage für die folgenden Zwecke:</w:t>
      </w:r>
    </w:p>
    <w:p>
      <w:pPr>
        <w:ind w:left="420"/>
      </w:pPr>
      <w:r>
        <w:t xml:space="preserve">1. die Feststellung, ob die Abwicklungsvoraussetzungen oder die Voraussetzungen für die Anwendung des Instruments der Beteiligung der Inhaber relevanter Kapitalinstrumente für das Institut oder das gruppenangehörige Unternehmen erfüllt sind;</w:t>
      </w:r>
    </w:p>
    <w:p>
      <w:pPr>
        <w:ind w:left="420"/>
      </w:pPr>
      <w:r>
        <w:t xml:space="preserve">2. wenn die Abwicklungsvoraussetzungen erfüllt sind, die Entscheidung über die in Bezug auf das Institut oder das gruppenangehörige Unternehmen zu treffenden angemessenen Abwicklungsmaßnahmen;</w:t>
      </w:r>
    </w:p>
    <w:p>
      <w:pPr>
        <w:ind w:left="420"/>
      </w:pPr>
      <w:r>
        <w:t xml:space="preserve">3. wenn das Instrument der Beteiligung der Inhaber relevanter Kapitalinstrumente gemäß § 89 ausgeübt wird, die fundierte Entscheidung über den Umfang der Einziehung, Löschung, Übertragung von Anteilen oder anderen Instrumenten des harten Kernkapitals an dem Institut oder dem gruppenangehörigen Unternehmen und über den Umfang der Herabschreibung und Umwandlung der relevanten Kapitalinstrumente und berücksichtigungsfähigen Verbindlichkeiten nach § 65 Absatz 4;</w:t>
      </w:r>
    </w:p>
    <w:p>
      <w:pPr>
        <w:ind w:left="420"/>
      </w:pPr>
      <w:r>
        <w:t xml:space="preserve">4. wenn das Instrument der Gläubigerbeteiligung gemäß § 90 angewandt wird, die Entscheidung über die Höhe der Herabschreibung oder Umwandlung von bail-in-fähigen Verbindlichkeiten;</w:t>
      </w:r>
    </w:p>
    <w:p>
      <w:pPr>
        <w:ind w:left="420"/>
      </w:pPr>
      <w:r>
        <w:t xml:space="preserve">5. wenn das Instrument des Brückeninstituts oder das Instrument der Übertragung auf eine Vermögensverwaltungsgesellschaft angewandt wird, die Bestimmung der zu übertragenden Vermögenswerte, Rechte, Verbindlichkeiten oder Anteile oder anderen Eigentumstitel und die Bewertung der Gegenleistung, die an das in Abwicklung befindliche Institut oder gruppenangehörige Unternehmen oder gegebenenfalls an die Inhaber der Anteile oder anderen Eigentumstitel zu entrichten ist;</w:t>
      </w:r>
    </w:p>
    <w:p>
      <w:pPr>
        <w:ind w:left="420"/>
      </w:pPr>
      <w:r>
        <w:t xml:space="preserve">6. wenn das Instrument der Unternehmensveräußerung angewandt wird, die Bestimmung der zu übertragenden Vermögenswerte, Rechte, Verbindlichkeiten oder Anteile oder anderen Eigentumsrechte;</w:t>
      </w:r>
    </w:p>
    <w:p>
      <w:pPr>
        <w:ind w:left="420"/>
      </w:pPr>
      <w:r>
        <w:t xml:space="preserve">7. wenn das Instrument der Unternehmensveräußerung, das Instrument des Brückeninstituts oder das Instrument der Übertragung auf eine Vermögensverwaltungsgesellschaft angewandt wird, die Durchführung des Drittvergleichs gemäß § 112;</w:t>
      </w:r>
    </w:p>
    <w:p>
      <w:pPr>
        <w:ind w:left="420"/>
      </w:pPr>
      <w:r>
        <w:t xml:space="preserve">8. in allen Fällen der Sicherstellung, dass jegliche Verluste in Bezug auf Vermögenswerte des Instituts oder des gruppenangehörigen Unternehmens zum Zeitpunkt der Anwendung der Abwicklungsinstrumente vollständig erfasst werden.</w:t>
      </w:r>
    </w:p>
    <w:p>
      <w:r>
        <w:rPr>
          <w:color w:val="555555"/>
          <w:sz w:val="17"/>
        </w:rPr>
        <w:t xml:space="preserve">Zitiervorschlag: § 71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