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SAG — Weitergabe von Informationen an sonstige Stellen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Abwicklungsbehörde und die Aufsichtsbehörde sind ferner berechtigt, die ihnen im Zusammenhang mit diesem Gesetz vorliegenden Informationen folgenden Behörden, Personen oder Stellen zur Verfügung zu stellen:</w:t>
      </w:r>
    </w:p>
    <w:p>
      <w:pPr>
        <w:ind w:left="420"/>
      </w:pPr>
      <w:r>
        <w:t xml:space="preserve">1. im Rahmen von Abwicklungskollegien deren Mitgliedern, den Abwicklungsbehörden sowie den zuständigen Stellen in anderen Staaten, mit denen die Aufsichtsbehörde im Rahmen von Aufsichtskollegien nach § 8e des Kreditwesengesetzes zusammenarbeitet, unter entsprechender Anwendung des § 8e des Kreditwesengesetzes,</w:t>
      </w:r>
    </w:p>
    <w:p>
      <w:pPr>
        <w:ind w:left="420"/>
      </w:pPr>
      <w:r>
        <w:t xml:space="preserve">2. der Europäischen Bankenaufsichtsbehörde oder der EFTA-Überwachungsbehörde,</w:t>
      </w:r>
    </w:p>
    <w:p>
      <w:pPr>
        <w:ind w:left="420"/>
      </w:pPr>
      <w:r>
        <w:t xml:space="preserve">2a. dem Bundesministerium der Finanzen,</w:t>
      </w:r>
    </w:p>
    <w:p>
      <w:pPr>
        <w:ind w:left="420"/>
      </w:pPr>
      <w:r>
        <w:t xml:space="preserve">3. Behörden, deren Urteil für die Abwicklungsbehörde erforderlich ist,</w:t>
      </w:r>
    </w:p>
    <w:p>
      <w:pPr>
        <w:ind w:left="420"/>
      </w:pPr>
      <w:r>
        <w:t xml:space="preserve">4. mit der Liquidation oder dem Insolvenzverfahren über das Verfahren eines Instituts oder eines gruppenangehörigen Unternehmens befassten Stellen oder Behörden,</w:t>
      </w:r>
    </w:p>
    <w:p>
      <w:pPr>
        <w:ind w:left="420"/>
      </w:pPr>
      <w:r>
        <w:t xml:space="preserve">5. Strafverfolgungsbehörden oder Gerichten,</w:t>
      </w:r>
    </w:p>
    <w:p>
      <w:pPr>
        <w:ind w:left="420"/>
      </w:pPr>
      <w:r>
        <w:t xml:space="preserve">6. Stellen sowie von diesen beauftragten Personen, die kraft Gesetzes oder im öffentlichen Auftrag betraut sind</w:t>
      </w:r>
    </w:p>
    <w:p>
      <w:pPr>
        <w:ind w:left="780"/>
      </w:pPr>
      <w:r>
        <w:t xml:space="preserve">a) mit der Überwachung von Instituten, Kapitalverwaltungsgesellschaften, extern verwalteten Investmentgesellschaften, EU-Verwaltungsgesellschaften oder ausländischen AIF-Verwaltungsgesellschaften, Finanzunternehmen, Versicherungsunternehmen, der Finanzmärkte oder des Zahlungsverkehrs oder</w:t>
      </w:r>
    </w:p>
    <w:p>
      <w:pPr>
        <w:ind w:left="780"/>
      </w:pPr>
      <w:r>
        <w:t xml:space="preserve">b) mit der Geldwäscheprävention,</w:t>
      </w:r>
    </w:p>
    <w:p>
      <w:pPr>
        <w:ind w:left="420"/>
      </w:pPr>
      <w:r>
        <w:t xml:space="preserve">7. mit der gesetzlichen Prüfung der Rechnungslegung von Instituten oder Finanzunternehmen betraute Personen sowie Stellen, welche die vorgenannten Personen beaufsichtigen,</w:t>
      </w:r>
    </w:p>
    <w:p>
      <w:pPr>
        <w:ind w:left="420"/>
      </w:pPr>
      <w:r>
        <w:t xml:space="preserve">8. Behörden, die für die Aufsicht über Zahlungs- und Abwicklungssysteme zuständig sind,</w:t>
      </w:r>
    </w:p>
    <w:p>
      <w:pPr>
        <w:ind w:left="420"/>
      </w:pPr>
      <w:r>
        <w:t xml:space="preserve">9. parlamentarischen Untersuchungsausschüssen nach § 1 des Untersuchungsausschussgesetzes auf Grund einer Entscheidung über ein Ersuchen nach § 18 Absatz 2 des Untersuchungsausschussgesetzes,</w:t>
      </w:r>
    </w:p>
    <w:p>
      <w:pPr>
        <w:ind w:left="420"/>
      </w:pPr>
      <w:r>
        <w:t xml:space="preserve">10. der Bank für Internationalen Zahlungsausgleich einschließlich der bei ihr ansässigen multilateralen Gremien, insbesondere dem Financial Stability Board,</w:t>
      </w:r>
    </w:p>
    <w:p>
      <w:pPr>
        <w:ind w:left="420"/>
      </w:pPr>
      <w:r>
        <w:t xml:space="preserve">11. dem Internationalen Währungsfonds,</w:t>
      </w:r>
    </w:p>
    <w:p>
      <w:pPr>
        <w:ind w:left="420"/>
      </w:pPr>
      <w:r>
        <w:t xml:space="preserve">12. dem Ausschuss für Finanzstabilität oder dem Europäischen Ausschuss für Systemrisiken,</w:t>
      </w:r>
    </w:p>
    <w:p>
      <w:pPr>
        <w:ind w:left="420"/>
      </w:pPr>
      <w:r>
        <w:t xml:space="preserve">13. dem Gremium zum Finanzmarktstabilisierungsfonds im Sinne des § 10a Absatz 1 des Stabilisierungsfondsgesetzes, dem Lenkungsausschuss im Sinne des § 4 Absatz 1 Satz 2 des Stabilisierungsfondsgesetzes,</w:t>
      </w:r>
    </w:p>
    <w:p>
      <w:pPr>
        <w:ind w:left="420"/>
      </w:pPr>
      <w:r>
        <w:t xml:space="preserve">14. der Deutschen Bundesbank oder</w:t>
      </w:r>
    </w:p>
    <w:p>
      <w:pPr>
        <w:ind w:left="420"/>
      </w:pPr>
      <w:r>
        <w:t xml:space="preserve">15. dem Ausschuss nach Artikel 42 bis 48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w:t>
      </w:r>
    </w:p>
    <w:p>
      <w:r>
        <w:t xml:space="preserve">(2) Eine Weitergabe von Informationen nach Absatz 1 darf nur erfolgen, soweit die dort genannten Stellen die Informationen zur Erfüllung ihrer Aufgaben benötigen. Für die Weitergabe von Informationen an Drittstaaten müssen zusätzlich die Anforderungen des § 8 erfüllt sein.</w:t>
      </w:r>
    </w:p>
    <w:p>
      <w:r>
        <w:t xml:space="preserve">(3) Bei Weitergabe von Informationen nach Absatz 1 und 2 liegt kein unbefugtes Offenbaren oder Verwerten im Sinne von § 9 Absatz 1 Satz 1 des Kreditwesengesetzes vor.</w:t>
      </w:r>
    </w:p>
    <w:p>
      <w:r>
        <w:rPr>
          <w:color w:val="555555"/>
          <w:sz w:val="17"/>
        </w:rPr>
        <w:t xml:space="preserve">Zitiervorschlag: § 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