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SAG — Allgemeine Grundsätze für eine Abwicklung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verfolgt bei Abwicklungsmaßnahmen die Grundsätze, dass</w:t>
      </w:r>
    </w:p>
    <w:p>
      <w:pPr>
        <w:ind w:left="420"/>
      </w:pPr>
      <w:r>
        <w:t xml:space="preserve">1. Verluste von Anteilsinhabern und Gläubigern in demselben Umfang zu tragen sind wie in einem Insolvenzverfahren, das zum Zeitpunkt der Anordnung der Abwicklung eröffnet worden wäre, sofern in diesem Gesetz keine abweichenden Bestimmungen getroffen werden,</w:t>
      </w:r>
    </w:p>
    <w:p>
      <w:pPr>
        <w:ind w:left="420"/>
      </w:pPr>
      <w:r>
        <w:t xml:space="preserve">2. gedeckte Einlagen vollständig geschützt werden,</w:t>
      </w:r>
    </w:p>
    <w:p>
      <w:pPr>
        <w:ind w:left="420"/>
      </w:pPr>
      <w:r>
        <w:t xml:space="preserve">3. die Kosten der Abwicklung möglichst gering zu halten sind und eine Vernichtung von Werten, die nicht zur Erreichung der Abwicklungsziele erforderlich ist, vermieden wird,</w:t>
      </w:r>
    </w:p>
    <w:p>
      <w:pPr>
        <w:ind w:left="420"/>
      </w:pPr>
      <w:r>
        <w:t xml:space="preserve">4. die Geschäftsleiter, die Mitglieder des Aufsichts- oder Verwaltungsorgans sowie die Mitarbeiter und Mitarbeiterinnen der nachgelagerten Führungsebene des in Abwicklung befindlichen Instituts oder gruppenangehörigen Unternehmens ersetzt werden, es sei denn, die Abwicklungsbehörde betrachtet deren vollständige oder teilweise Beibehaltung im Einzelfall als erforderlich, um die Abwicklungsziele zu erreichen,</w:t>
      </w:r>
    </w:p>
    <w:p>
      <w:pPr>
        <w:ind w:left="420"/>
      </w:pPr>
      <w:r>
        <w:t xml:space="preserve">5. die Geschäftsleiter, die Mitglieder des Aufsichts- oder Verwaltungsorgans sowie die Mitarbeiter und Mitarbeiterinnen der nachgelagerten Führungsebene des in Abwicklung befindlichen Instituts oder gruppenangehörigen Unternehmens zu jeder erforderlichen Unterstützung für die Erreichung der Abwicklungsziele herangezogen werden,</w:t>
      </w:r>
    </w:p>
    <w:p>
      <w:pPr>
        <w:ind w:left="420"/>
      </w:pPr>
      <w:r>
        <w:t xml:space="preserve">6. die straf- und zivilrechtliche Verantwortung von natürlichen und juristischen Personen für die Bestandsgefährdung des in Abwicklung befindlichen Instituts unberührt bleibt.</w:t>
      </w:r>
    </w:p>
    <w:p>
      <w:r>
        <w:t xml:space="preserve">(2) Die Abwicklungsbehörde trifft Abwicklungsmaßnahmen gegenüber einem Institut, das einer Gruppe angehört, nach Maßgabe dieses Gesetzes in einer Weise, die die negativen Auswirkungen auf gruppenangehörige Unternehmen und die Gruppe als Ganzes sowie auf die Finanzstabilität in der Europäischen Union und in ihren Mitgliedstaaten, insbesondere in Mitgliedstaaten, in denen gruppenangehörige Unternehmen tätig sind, so gering wie möglich hält.</w:t>
      </w:r>
    </w:p>
    <w:p>
      <w:r>
        <w:t xml:space="preserve">(3) Bei Abwicklungsmaßnahmen wird die Abwicklungsbehörde den Betriebsrat des Instituts oder gruppenangehörigen Unternehmens informieren, soweit dies ohne Beeinträchtigung der Abwicklungsziele möglich ist.</w:t>
      </w:r>
    </w:p>
    <w:p>
      <w:r>
        <w:rPr>
          <w:color w:val="555555"/>
          <w:sz w:val="17"/>
        </w:rPr>
        <w:t xml:space="preserve">Zitiervorschlag: § 68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