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SAG — Abwicklungsziele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Abwicklungsziele sind</w:t>
      </w:r>
    </w:p>
    <w:p>
      <w:pPr>
        <w:ind w:left="420"/>
      </w:pPr>
      <w:r>
        <w:t xml:space="preserve">1. die Sicherstellung der Kontinuität kritischer Funktionen;</w:t>
      </w:r>
    </w:p>
    <w:p>
      <w:pPr>
        <w:ind w:left="420"/>
      </w:pPr>
      <w:r>
        <w:t xml:space="preserve">2. die Vermeidung erheblicher negativer Auswirkungen auf die Finanzstabilität vor allem durch die Verhinderung einer Ansteckung, beispielsweise von Finanzmarktinfrastrukturen, und durch die Erhaltung der Marktdisziplin;</w:t>
      </w:r>
    </w:p>
    <w:p>
      <w:pPr>
        <w:ind w:left="420"/>
      </w:pPr>
      <w:r>
        <w:t xml:space="preserve">3. der Schutz öffentlicher Mittel durch geringere Inanspruchnahme außerordentlicher finanzieller Unterstützung aus öffentlichen Mitteln;</w:t>
      </w:r>
    </w:p>
    <w:p>
      <w:pPr>
        <w:ind w:left="420"/>
      </w:pPr>
      <w:r>
        <w:t xml:space="preserve">4. der Schutz der unter das Einlagensicherungsgesetz fallenden Einleger und der unter das Anlegerentschädigungsgesetz fallenden Anleger;</w:t>
      </w:r>
    </w:p>
    <w:p>
      <w:pPr>
        <w:ind w:left="420"/>
      </w:pPr>
      <w:r>
        <w:t xml:space="preserve">5. der Schutz der Gelder und Vermögenswerte der Kunden.</w:t>
      </w:r>
    </w:p>
    <w:p>
      <w:r>
        <w:t xml:space="preserve">(2) Vorbehaltlich anderer Bestimmungen dieses Gesetzes sind die Abwicklungsziele gleichrangig; es obliegt der Abwicklungsbehörde, entsprechend der Art und den Umständen des jeweiligen Falls eine angemessene Abwägung vorzunehmen.</w:t>
      </w:r>
    </w:p>
    <w:p>
      <w:r>
        <w:rPr>
          <w:color w:val="555555"/>
          <w:sz w:val="17"/>
        </w:rPr>
        <w:t xml:space="preserve">Zitiervorschlag: § 67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