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SAG — Voraussetzungen für die Anwendung des Instruments der Beteiligung der Inhaber relevanter Kapitalinstrumente und berücksichtigungsfähiger Verbindlichkeiten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Außer in den Fällen des § 89 kann die Abwicklungsbehörde das Instrument der Beteiligung der Inhaber relevanter Kapitalinstrumente gemäß § 89 auch in Bezug auf relevante Kapitalinstrumente und auf berücksichtigungsfähige Verbindlichkeiten nach Absatz 4 anwenden, die</w:t>
      </w:r>
    </w:p>
    <w:p>
      <w:pPr>
        <w:ind w:left="420"/>
      </w:pPr>
      <w:r>
        <w:t xml:space="preserve">1. von einem Tochterunternehmen ausgegeben werden und die auf Einzelbasis oder auf konsolidierter Basis für die Zwecke der Erfüllung der Eigenmittelanforderungen anerkannt sind, wenn die Abwicklungsbehörde und die für die Feststellung zuständige Behörde des Mitgliedstaats des Tochterunternehmens in Form einer gemeinsamen Entscheidung gemäß § 166 Absatz 3 und 4 nach Maßgabe des § 66 feststellen, dass in Bezug auf die Gruppe die Voraussetzungen des § 62 Absatz 1 Satz 1 Nummer 1 und 3 vorliegen;</w:t>
      </w:r>
    </w:p>
    <w:p>
      <w:pPr>
        <w:ind w:left="420"/>
      </w:pPr>
      <w:r>
        <w:t xml:space="preserve">2. von einem inländischen Mutterunternehmen ausgegeben werden und die auf Einzelbasis auf der Ebene des inländischen Mutterunternehmens oder auf konsolidierter Basis für die Zwecke der Erfüllung der Eigenmittelanforderungen anerkannt sind, wenn die Abwicklungsbehörde feststellt, dass in Bezug auf die Gruppe die Voraussetzungen des § 62 Absatz 1 Satz 1 Nummer 1 und 3 vorliegen;</w:t>
      </w:r>
    </w:p>
    <w:p>
      <w:pPr>
        <w:ind w:left="420"/>
      </w:pPr>
      <w:r>
        <w:t xml:space="preserve">3. von einem Institut ausgegeben werden, wenn diesem eine außerordentliche finanzielle Unterstützung aus öffentlichen Mitteln bewilligt wird, außer in Fällen des § 63 Absatz 2 Satz 2 Nummer 3 oder</w:t>
      </w:r>
    </w:p>
    <w:p>
      <w:pPr>
        <w:ind w:left="420"/>
      </w:pPr>
      <w:r>
        <w:t xml:space="preserve">4. von einem Institut oder gruppenangehörigen Unternehmen ausgegeben werden, wenn die Abwicklungsbehörde feststellt, dass die Voraussetzungen des § 62 Absatz 1 Satz 1 Nummer 1 und 3 vorliegen.</w:t>
      </w:r>
    </w:p>
    <w:p>
      <w:r>
        <w:t xml:space="preserve">(2) Für die Zwecke von Absatz 1 Nummer 1, 2 und 4 liegt die Bestandsgefährdung einer Gruppe vor, wenn die Gruppe gegen die Aufsichtsanforderungen auf konsolidierter Ebene in einer Weise verstößt, die Maßnahmen gemäß § 45 Absatz 1 des Kreditwesengesetzes, durch die Aufsichtsbehörde in Bezug auf ein auf konsolidierter Basis beaufsichtigtes Unternehmen der Gruppe rechtfertigt oder wenn objektive Anhaltspunkte dafür vorliegen, dass ein Verstoß nach Absatz 1 Nummer 1 zumindest in naher Zukunft bevorsteht.</w:t>
      </w:r>
    </w:p>
    <w:p>
      <w:r>
        <w:t xml:space="preserve">(3) Bei einer Maßnahme nach Absatz 1 wird die Bewertung nach § 146 vorgenommen und § 147 findet Anwendung.</w:t>
      </w:r>
    </w:p>
    <w:p>
      <w:r>
        <w:t xml:space="preserve">(4) Berücksichtigungsfähige Verbindlichkeiten dürfen nach Absatz 1 herabgeschrieben oder umgewandelt werden, sofern diese die in § 49f Absatz 2 Nummer 1 genannten Voraussetzungen erfüllen, mit Ausnahme der Voraussetzung in Bezug auf die Restlaufzeit der Verbindlichkeiten nach Maßgabe des Artikels 72c Absatz 1 der Verordnung (EU) Nr. 575/2013. § 68 Absatz 1 Nummer 1 findet Anwendung.</w:t>
      </w:r>
    </w:p>
    <w:p>
      <w:r>
        <w:rPr>
          <w:color w:val="555555"/>
          <w:sz w:val="17"/>
        </w:rPr>
        <w:t xml:space="preserve">Zitiervorschlag: § 65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