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SAG — Abwicklungsvoraussetzungen in Bezug auf Finanzinstitute und Holdinggesellschaften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06.01.2024 (konsolidierte Textfassung, kein amtliches Inkrafttretensdatum)</w:t>
      </w:r>
    </w:p>
    <w:p>
      <w:r>
        <w:t xml:space="preserve">(1) Die Abwicklungsvoraussetzungen in Bezug auf ein Finanzinstitut, das nachgeordnetes Unternehmen eines auf konsolidierter Basis beaufsichtigten übergeordneten Unternehmens ist, liegen vor, wenn die in § 62 Absatz 1 genannten Voraussetzungen sowohl in Bezug auf das Finanzinstitut als auch in Bezug auf das übergeordnete Unternehmen erfüllt sind. § 62 Absatz 2 gilt entsprechend.</w:t>
      </w:r>
    </w:p>
    <w:p>
      <w:r>
        <w:t xml:space="preserve">(2) Die Abwicklungsvoraussetzungen in Bezug auf eine Finanzholdinggesellschaft, eine gemischte Finanzholdinggesellschaft, eine gemischte Holdinggesellschaft, eine Mutterfinanzholding-Gesellschaft in einem Mitgliedstaat, eine EU-Mutterfinanzholding-Gesellschaft, eine gemischte Mutterfinanzholding-Gesellschaft in einem Mitgliedstaat oder eine gemischte EU-Mutterfinanzholding-Gesellschaft liegen vor, wenn die in § 62 Absatz 1 genannten Voraussetzungen in Bezug auf eine der vorgenannten Holdinggesellschaften erfüllt sind.</w:t>
      </w:r>
    </w:p>
    <w:p>
      <w:r>
        <w:t xml:space="preserve">(3) Abweichend von Absatz 2 kann die Abwicklungsbehörde auch dann Abwicklungsmaßnahmen für eine in Absatz 2 genannte Holdinggesellschaft anordnen, wenn</w:t>
      </w:r>
    </w:p>
    <w:p>
      <w:pPr>
        <w:ind w:left="420"/>
      </w:pPr>
      <w:r>
        <w:t xml:space="preserve">1. die in § 62 Absatz 1 genannten Voraussetzungen in Bezug auf ein Tochterunternehmen oder mehrere Tochterunternehmen dieser Holdinggesellschaft erfüllt sind, sofern es sich bei den Tochterunternehmen um Institute handelt, die selbst keine Abwicklungseinheiten sind,</w:t>
      </w:r>
    </w:p>
    <w:p>
      <w:pPr>
        <w:ind w:left="420"/>
      </w:pPr>
      <w:r>
        <w:t xml:space="preserve">2. die Vermögenswerte und Verbindlichkeiten des Tochterunternehmens oder der Tochterunternehmen nach Nummer 1 so beschaffen sind, dass deren Ausfall eine Bestandsgefährdung der Abwicklungsgruppe als Ganzes auslösen könnte,</w:t>
      </w:r>
    </w:p>
    <w:p>
      <w:pPr>
        <w:ind w:left="420"/>
      </w:pPr>
      <w:r>
        <w:t xml:space="preserve">3. eine Abwicklungsmaßnahme in Bezug auf diese Holdinggesellschaft für die Abwicklung eines Tochterunternehmens oder mehrerer Tochterunternehmen nach Nummer 1 oder für die Abwicklung der Abwicklungsgruppe als Ganzes erforderlich ist und</w:t>
      </w:r>
    </w:p>
    <w:p>
      <w:pPr>
        <w:ind w:left="420"/>
      </w:pPr>
      <w:r>
        <w:t xml:space="preserve">4. diese Holdinggesellschaft eine Abwicklungseinheit ist.</w:t>
      </w:r>
    </w:p>
    <w:p>
      <w:r>
        <w:t xml:space="preserve">(4) Die Zwischen-Finanzholdinggesellschaft ist im Abwicklungsplan als Abwicklungseinheit auszuweisen und Abwicklungsmaßnahmen zum Zweck einer Gruppenabwicklung nach Absatz 2 oder Absatz 3 dürfen nur für die Zwischen-Finanzholdinggesellschaft und nicht für die gemischte Holdinggesellschaft angeordnet werden, wenn die Tochterinstitute einer gemischten Holdinggesellschaft direkt oder indirekt von einer Zwischen-Finanzholdinggesellschaft gehalten werden.</w:t>
      </w:r>
    </w:p>
    <w:p>
      <w:r>
        <w:t xml:space="preserve">(5) Die Abwicklungsbehörde kann Abwicklungsmaßnahmen in Bezug auf eine Zentralorganisation und alle ihr ständig zugeordneten Kreditinstitute, die Teil derselben Abwicklungsgruppe sind, ergreifen, wenn diese Abwicklungsgruppe als Ganzes die Voraussetzungen nach § 62 Absatz 1 erfüllt.</w:t>
      </w:r>
    </w:p>
    <w:p>
      <w:r>
        <w:rPr>
          <w:color w:val="555555"/>
          <w:sz w:val="17"/>
        </w:rPr>
        <w:t xml:space="preserve">Zitiervorschlag: § 64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