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SAG — Bestandsgefährdung; Verordnungsermächtigung</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Eine Bestandsgefährdung eines Instituts liegt vor, wenn</w:t>
      </w:r>
    </w:p>
    <w:p>
      <w:pPr>
        <w:ind w:left="420"/>
      </w:pPr>
      <w:r>
        <w:t xml:space="preserve">1. das Institut gegen die mit einer Erlaubnis nach § 32 des Kreditwesengesetzes verbundenen Anforderungen in einer Weise verstößt, die die Aufhebung der Erlaubnis durch die Aufsichtsbehörde rechtfertigen würde oder objektive Anhaltspunkte dafür vorliegen, dass dies in naher Zukunft bevorsteht,</w:t>
      </w:r>
    </w:p>
    <w:p>
      <w:pPr>
        <w:ind w:left="420"/>
      </w:pPr>
      <w:r>
        <w:t xml:space="preserve">2. die Vermögenswerte des Instituts die Höhe seiner Verbindlichkeiten unterschreiten oder objektive Anhaltspunkte dafür vorliegen, dass dies in naher Zukunft bevorsteht, oder</w:t>
      </w:r>
    </w:p>
    <w:p>
      <w:pPr>
        <w:ind w:left="420"/>
      </w:pPr>
      <w:r>
        <w:t xml:space="preserve">3. das Institut zahlungsunfähig ist oder objektive Anhaltspunkte dafür vorliegen, dass das Institut in naher Zukunft nicht mehr in der Lage sein wird, die bestehenden Zahlungspflichten im Zeitpunkt der Fälligkeit zu erfüllen, es sei denn, es bestehen ernsthafte Aussichten darauf, dass das Institut durch Garantien im Sinne von Absatz 2 Satz 2 Nummer 1 oder 2 in die Lage versetzt wird, bestehende Zahlungspflichten im Zeitpunkt der Fälligkeit zu erfüllen.</w:t>
      </w:r>
    </w:p>
    <w:p>
      <w:r>
        <w:t xml:space="preserve">(2) Einer Bestandsgefährdung steht die Bewilligung einer außerordentlichen finanziellen Unterstützung aus öffentlichen Mitteln gleich. Dies gilt nicht, wenn die außerordentliche finanzielle Unterstützung aus öffentlichen Mitteln zur Abwendung einer schweren Störung der Volkswirtschaft und zur Wahrung der Finanzstabilität erfolgt in der Form</w:t>
      </w:r>
    </w:p>
    <w:p>
      <w:pPr>
        <w:ind w:left="420"/>
      </w:pPr>
      <w:r>
        <w:t xml:space="preserve">1. einer staatlichen Garantie für Liquiditätsfazilitäten, die von der Europäischen Zentralbank oder der Deutschen Bundesbank zu ihren jeweiligen Bedingungen bereitgestellt werden,</w:t>
      </w:r>
    </w:p>
    <w:p>
      <w:pPr>
        <w:ind w:left="420"/>
      </w:pPr>
      <w:r>
        <w:t xml:space="preserve">2. einer staatlichen Garantie für neu emittierte Verbindlichkeiten oder</w:t>
      </w:r>
    </w:p>
    <w:p>
      <w:pPr>
        <w:ind w:left="420"/>
      </w:pPr>
      <w:r>
        <w:t xml:space="preserve">3. einer Zuführung von Eigenkapital oder des Kaufs von Kapitalinstrumenten</w:t>
      </w:r>
    </w:p>
    <w:p>
      <w:pPr>
        <w:ind w:left="780"/>
      </w:pPr>
      <w:r>
        <w:t xml:space="preserve">a) zu Preisen und Bedingungen, die das Institut nicht begünstigen,</w:t>
      </w:r>
    </w:p>
    <w:p>
      <w:pPr>
        <w:ind w:left="780"/>
      </w:pPr>
      <w:r>
        <w:t xml:space="preserve">b) zwecks Schließung von Kapitallücken, die in Stresstests auf nationaler Ebene oder der Ebene der Union oder des einheitlichen Aufsichtsmechanismus, bei der Bewertung der Qualität der Vermögenswerte oder vergleichbaren Prüfungen durch die Aufsichtsbehörde, die Europäische Zentralbank oder die Europäische Bankenaufsichtsbehörde festgestellt und gegebenenfalls durch die Aufsichtsbehörde bestätigt wurden,</w:t>
      </w:r>
    </w:p>
    <w:p>
      <w:pPr>
        <w:ind w:left="780"/>
      </w:pPr>
      <w:r>
        <w:t xml:space="preserve">c) wenn im Zeitpunkt der Kapitalzuführung die Voraussetzungen des § 65 Absatz 2 nicht erfüllt sind.</w:t>
      </w:r>
    </w:p>
    <w:p>
      <w:r>
        <w:t xml:space="preserve">Die Regelungen gemäß den Nummern 1, 2 und 3 gelten nur für präventive, zeitlich befristete und verhältnismäßige Maßnahmen, die nicht dem Ausgleich von Verlusten dienen, die das Institut bereits erlitten hat oder in naher Zukunft voraussichtlich erleiden wird. Kapitalmaßnahmen öffentlicher Eigentümer, die keine Beihilfe im Sinne des Artikels 107 Absatz 1 des Vertrags über die Arbeitsweise der Europäischen Union oder des Artikels 61 Absatz 1 des Abkommens über den Europäischen Wirtschaftsraum sind, bleiben unbenommen.</w:t>
      </w:r>
    </w:p>
    <w:p>
      <w:r>
        <w:t xml:space="preserve">(3) Das Bundesministerium der Finanzen wird ermächtigt, durch Rechtsverordnung, die nicht der Zustimmung des Bundesrates bedarf, nähere Bestimmungen bezüglich der Umstände zu treffen, unter denen eine Bestandsgefährdung nach den Absätzen 1 und 2 vorliegt. Das Bundesministerium der Finanzen kann die Ermächtigung durch Rechtsverordnung auf die Abwicklungsbehörde mit der Maßgabe übertragen, dass die Rechtsverordnung im Einvernehmen mit der Bundesanstalt für Finanzdienstleistungsaufsicht und der Deutschen Bundesbank ergeht.</w:t>
      </w:r>
    </w:p>
    <w:p>
      <w:r>
        <w:rPr>
          <w:color w:val="555555"/>
          <w:sz w:val="17"/>
        </w:rPr>
        <w:t xml:space="preserve">Zitiervorschlag: § 63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