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58a SAG — Befugnis zur Untersagung bestimmter Ausschüttungen</w:t>
      </w:r>
    </w:p>
    <w:p>
      <w:r>
        <w:rPr>
          <w:color w:val="555555"/>
          <w:sz w:val="18"/>
        </w:rPr>
        <w:t xml:space="preserve">Sanierungs- und Abwicklungsgesetz</w:t>
      </w:r>
    </w:p>
    <w:p>
      <w:r>
        <w:rPr>
          <w:color w:val="555555"/>
          <w:sz w:val="18"/>
        </w:rPr>
        <w:t xml:space="preserve">Stand: 31.03.2026 (konsolidierte Textfassung, kein amtliches Inkrafttretensdatum)</w:t>
      </w:r>
    </w:p>
    <w:p>
      <w:r>
        <w:t xml:space="preserve">(1) Die Abwicklungsbehörde hat die Befugnis, einem Unternehmen zu untersagen, Ausschüttungen vorzunehmen, die den nach Absatz 4 berechneten maximal ausschüttungsfähigen Betrag in Bezug auf die Mindestanforderung an Eigenmittel und berücksichtigungsfähige Verbindlichkeiten übersteigen, wenn das Unternehmen die kombinierte Kapitalpufferanforderung unter Einbeziehung der in § 10i Absatz 1a Nummer 1 bis 3 des Kreditwesengesetzes genannten Anforderungen zwar erfüllt, jedoch nicht erfüllt, wenn sie zusätzlich zu den Anforderungen nach den §§ 49c und 49d betrachtet wird, sofern diese nach § 49 Absatz 2 Nummer 1 berechnet werden. Im Fall einer Untersagung darf die Ausschüttung nicht erfolgen durch</w:t>
      </w:r>
    </w:p>
    <w:p>
      <w:pPr>
        <w:ind w:left="420"/>
      </w:pPr>
      <w:r>
        <w:t xml:space="preserve">1. eine mit hartem Kernkapital verbundene Ausschüttung,</w:t>
      </w:r>
    </w:p>
    <w:p>
      <w:pPr>
        <w:ind w:left="420"/>
      </w:pPr>
      <w:r>
        <w:t xml:space="preserve">2. eine Verpflichtung zur Zahlung einer variablen Vergütung oder freiwilliger Altersvorsorgeleistungen oder Zahlung einer variablen Vergütung, wenn die entsprechende Verpflichtung zu einer Zeit eingegangen wurde, in der das Unternehmen die kombinierte Kapitalpufferanforderung nicht erfüllte, oder</w:t>
      </w:r>
    </w:p>
    <w:p>
      <w:pPr>
        <w:ind w:left="420"/>
      </w:pPr>
      <w:r>
        <w:t xml:space="preserve">3. Zahlungen in Bezug auf zusätzliche Kernkapitalinstrumente.</w:t>
      </w:r>
    </w:p>
    <w:p>
      <w:r>
        <w:t xml:space="preserve">Erfüllt ein Unternehmen die kombinierten Kapitalpufferanforderungen im Sinne des Satzes 1 nicht, teilt es dies der Abwicklungsbehörde unverzüglich mit.</w:t>
      </w:r>
    </w:p>
    <w:p>
      <w:r>
        <w:t xml:space="preserve">(2) Die für das Unternehmen zuständige Abwicklungsbehörde entscheidet nach Anhörung der zuständigen Aufsichtsbehörden unverzüglich, ob sie von der Befugnis nach Absatz 1 Satz 1 Gebrauch macht, sobald die dort genannten Voraussetzungen der Untersagung vorliegen. Bei der Entscheidung nach Satz 1 berücksichtigt die Abwicklungsbehörde insbesondere folgende Kriterien:</w:t>
      </w:r>
    </w:p>
    <w:p>
      <w:pPr>
        <w:ind w:left="420"/>
      </w:pPr>
      <w:r>
        <w:t xml:space="preserve">1. die Ursache und Dauer sowie das Ausmaß der Nichterfüllung und deren Auswirkungen auf die Abwicklungsfähigkeit;</w:t>
      </w:r>
    </w:p>
    <w:p>
      <w:pPr>
        <w:ind w:left="420"/>
      </w:pPr>
      <w:r>
        <w:t xml:space="preserve">2. die Entwicklung der Finanzlage des Unternehmens und die Wahrscheinlichkeit, dass es in absehbarer Zukunft die Voraussetzungen nach § 62 Absatz 1 Nummer 1 erfüllt;</w:t>
      </w:r>
    </w:p>
    <w:p>
      <w:pPr>
        <w:ind w:left="420"/>
      </w:pPr>
      <w:r>
        <w:t xml:space="preserve">3. die Aussicht, dass das Unternehmen in der Lage sein wird sicherzustellen, dass die Anforderungen nach Absatz 1 innerhalb einer angemessenen Frist erfüllt werden;</w:t>
      </w:r>
    </w:p>
    <w:p>
      <w:pPr>
        <w:ind w:left="420"/>
      </w:pPr>
      <w:r>
        <w:t xml:space="preserve">4. die Frage, ob das Unternehmen in der Lage ist, Verbindlichkeiten zu ersetzen, die die in den Artikeln 72b und 72c der Verordnung (EU) Nr. 575/2013, in § 49b oder in § 49f Absatz 2 festgelegten Kriterien für die Berücksichtigungsfähigkeit oder Laufzeit nicht mehr erfüllen, die Frage, ob dieses Unvermögen idiosynkratischer Natur oder auf generelle Marktstörungen zurückzuführen ist, und</w:t>
      </w:r>
    </w:p>
    <w:p>
      <w:pPr>
        <w:ind w:left="420"/>
      </w:pPr>
      <w:r>
        <w:t xml:space="preserve">5. die Frage, ob die Ausübung der in Absatz 1 genannten Befugnis die geeignetste und angemessenste Vorgehensweise ist, um die Situation des Unternehmens anzugehen, unter Berücksichtigung ihrer möglichen Auswirkungen sowohl auf die Finanzierungsbedingungen als auch auf die Abwicklungsfähigkeit des betreffenden Unternehmens.</w:t>
      </w:r>
    </w:p>
    <w:p>
      <w:r>
        <w:t xml:space="preserve">Die Abwicklungsbehörde überprüft innerhalb des Zeitraums, in dem das Unternehmen die Anforderung nach Absatz 1 Satz 1 nicht erfüllt, mindestens monatlich, ob die Untersagung der Ausschüttungen erforderlich ist.</w:t>
      </w:r>
    </w:p>
    <w:p>
      <w:r>
        <w:t xml:space="preserve">(3) Stellt die Abwicklungsbehörde fest, dass die Anforderungen nach Absatz 1 Satz 1 neun Monate nach der Mitteilung des Unternehmens nach Absatz 1 Satz 3 weiterhin nicht erfüllt werden, untersagt die zuständige Abwicklungsbehörde nach Anhörung der Aufsichtsbehörde die Ausschüttung nach Absatz 1, es sei denn, sie stellt nach einer Beurteilung fest, dass mindestens zwei der folgenden Voraussetzungen erfüllt sind:</w:t>
      </w:r>
    </w:p>
    <w:p>
      <w:pPr>
        <w:ind w:left="420"/>
      </w:pPr>
      <w:r>
        <w:t xml:space="preserve">1. die Nichterfüllung ist auf eine schwerwiegende Störung des Funktionierens der Finanzmärkte zurückzuführen, die auf breiter Basis zu Spannungen in verschiedenen Finanzmarktsegmenten führt,</w:t>
      </w:r>
    </w:p>
    <w:p>
      <w:pPr>
        <w:ind w:left="420"/>
      </w:pPr>
      <w:r>
        <w:t xml:space="preserve">2. die Störung nach Nummer 1 führt nicht nur zu erhöhter Preisvolatilität bei Eigenmittelinstrumenten und Instrumenten berücksichtigungsfähiger Verbindlichkeiten des Unternehmens oder zu erhöhten Kosten für das Unternehmen, sondern auch zu einer vollständigen oder teilweisen Marktschließung, was das Unternehmen daran hindert, Eigenmittelinstrumente und Instrumente berücksichtigungsfähiger Verbindlichkeiten an jenen Märkten zu begeben,</w:t>
      </w:r>
    </w:p>
    <w:p>
      <w:pPr>
        <w:ind w:left="420"/>
      </w:pPr>
      <w:r>
        <w:t xml:space="preserve">3. die Marktschließung nach Nummer 2 ist nicht nur für das betreffende Unternehmen, sondern auch für mehrere andere Unternehmen zu beobachten,</w:t>
      </w:r>
    </w:p>
    <w:p>
      <w:pPr>
        <w:ind w:left="420"/>
      </w:pPr>
      <w:r>
        <w:t xml:space="preserve">4. die Störung nach Nummer 1 hindert das betreffende Unternehmen daran, Eigenmittelinstrumente und Instrumente berücksichtigungsfähiger Verbindlichkeiten zu begeben, um die Nichterfüllung abzustellen, oder</w:t>
      </w:r>
    </w:p>
    <w:p>
      <w:pPr>
        <w:ind w:left="420"/>
      </w:pPr>
      <w:r>
        <w:t xml:space="preserve">5. eine Ausübung der Befugnis nach Absatz 1 Satz 1 führt zu negativen Ausstrahlungseffekten auf Teile des Bankensektors, wodurch die Finanzstabilität untergraben werden könnte.</w:t>
      </w:r>
    </w:p>
    <w:p>
      <w:r>
        <w:t xml:space="preserve">Kommt die Abwicklungsbehörde bei ihrer Beurteilung zu dem Ergebnis, dass sie von ihrer Befugnis der Untersagung bestimmter Ausschüttungen keinen Gebrauch macht, teilt sie das der zuständigen Behörde schriftlich mit und begründet dies. Absatz 2 Satz 2 findet entsprechende Anwendung.</w:t>
      </w:r>
    </w:p>
    <w:p>
      <w:r>
        <w:t xml:space="preserve">(4) Der maximal ausschüttungsfähige Betrag gemäß Absatz 1 Satz 1 wird berechnet durch Multiplikation der gemäß Absatz 5 berechneten Summe mit dem gemäß Absatz 6 festgelegten Faktor. Der maximal ausschüttungsfähige Betrag reduziert sich durch jede nach Absatz 1 Satz 2 Nummer 1, 2 oder 3 durchgeführte Maßnahme.</w:t>
      </w:r>
    </w:p>
    <w:p>
      <w:r>
        <w:t xml:space="preserve">(5) Die gemäß Absatz 4 zu multiplizierende Summe umfasst</w:t>
      </w:r>
    </w:p>
    <w:p>
      <w:pPr>
        <w:ind w:left="420"/>
      </w:pPr>
      <w:r>
        <w:t xml:space="preserve">1. Zwischengewinne, die gemäß Artikel 26 Absatz 2 der Verordnung (EU) Nr. 575/2013 nicht dem harten Kernkapital zugerechnet wurden, abzüglich etwaiger Gewinnausschüttungen oder Zahlungen auf Grund der Maßnahmen nach Absatz 1 Satz 2 Nummer 1, 2 oder 3, zuzüglich der</w:t>
      </w:r>
    </w:p>
    <w:p>
      <w:pPr>
        <w:ind w:left="420"/>
      </w:pPr>
      <w:r>
        <w:t xml:space="preserve">2. Jahresendgewinne, die gemäß Artikel 26 Absatz 2 der Verordnung (EU) Nr. 575/2013 nicht dem harten Kernkapital zugerechnet wurden, abzüglich etwaiger Gewinnausschüttungen oder Zahlungen auf Grund der Maßnahmen nach Absatz 1 Satz 2 Nummer 1, 2 oder 3, abzüglich der</w:t>
      </w:r>
    </w:p>
    <w:p>
      <w:pPr>
        <w:ind w:left="420"/>
      </w:pPr>
      <w:r>
        <w:t xml:space="preserve">3. Beträge, die in Form von Steuern zu zahlen wären, wenn die Gewinne nach den Nummern 1 und 2 einbehalten würden.</w:t>
      </w:r>
    </w:p>
    <w:p>
      <w:r>
        <w:t xml:space="preserve">(6) Der in Absatz 4 genannte Faktor wird wie folgt bestimmt:</w:t>
      </w:r>
    </w:p>
    <w:p>
      <w:pPr>
        <w:ind w:left="420"/>
      </w:pPr>
      <w:r>
        <w:t xml:space="preserve">1. Liegt das von einem Unternehmen vorgehaltene und nicht zur Unterlegung etwaiger Anforderungen nach Artikel 92a der Verordnung (EU) Nr. 575/2013 und nach den §§ 49c und 49d verwendete harte Kernkapital, ausgedrückt als Prozentsatz des nach Artikel 92 Absatz 3 der Verordnung (EU) Nr. 575/2013 berechneten Gesamtrisikobetrags, innerhalb des ersten, das heißt des untersten, Quartils der kombinierten Kapitalpufferanforderung, so ist der Faktor 0;</w:t>
      </w:r>
    </w:p>
    <w:p>
      <w:pPr>
        <w:ind w:left="420"/>
      </w:pPr>
      <w:r>
        <w:t xml:space="preserve">2. liegt das von einem Unternehmen vorgehaltene und nicht zur Unterlegung etwaiger Anforderungen nach Artikel 92a der Verordnung (EU) Nr. 575/2013 und nach den §§ 49c und 49d verwendete harte Kernkapital, ausgedrückt als Prozentsatz des nach Artikel 92 Absatz 3 der Verordnung (EU) Nr. 575/2013 berechneten Gesamtrisikobetrags, innerhalb des zweiten Quartils der kombinierten Kapitalpufferanforderung, so ist der Faktor 0,2;</w:t>
      </w:r>
    </w:p>
    <w:p>
      <w:pPr>
        <w:ind w:left="420"/>
      </w:pPr>
      <w:r>
        <w:t xml:space="preserve">3. liegt das von einem Unternehmen vorgehaltene und nicht zur Unterlegung etwaiger Anforderungen nach Artikel 92a der Verordnung (EU) Nr. 575/2013 und nach den §§ 49c und 49d verwendete harte Kernkapital, ausgedrückt als Prozentsatz des nach Artikel 92 Absatz 3 der Verordnung (EU) Nr. 575/2013 berechneten Gesamtrisikobetrags, innerhalb des dritten Quartils der kombinierten Kapitalpufferanforderung, so ist der Faktor 0,4;</w:t>
      </w:r>
    </w:p>
    <w:p>
      <w:pPr>
        <w:ind w:left="420"/>
      </w:pPr>
      <w:r>
        <w:t xml:space="preserve">4. liegt das von einem Unternehmen vorgehaltene und nicht zur Unterlegung etwaiger Anforderungen nach Artikel 92a der Verordnung (EU) Nr. 575/2013 und nach den §§ 49c und 49d verwendete harte Kernkapital, ausgedrückt als Prozentsatz des nach Artikel 92 Absatz 3 der Verordnung (EU) Nr. 575/2013 berechneten Gesamtrisikobetrags, innerhalb des vierten, das heißt des obersten, Quartils der kombinierten Kapitalpufferanforderung, so ist der Faktor 0,6.</w:t>
      </w:r>
    </w:p>
    <w:p>
      <w:r>
        <w:t xml:space="preserve">(7) Die Ober- und Untergrenzen für jedes Quartil der kombinierten Kapitalpufferanforderung werden wie folgt berechnet:</w:t>
      </w:r>
    </w:p>
    <w:p>
      <w:r>
        <w:rPr>
          <w:rFonts w:ascii="Courier New" w:hAnsi="Courier New"/>
          <w:sz w:val="17"/>
        </w:rPr>
        <w:t xml:space="preserve">Quartiluntergrenze =    Kombinierte Kapitalpufferanforderung    x (Qn – 1)</w:t>
      </w:r>
    </w:p>
    <w:p>
      <w:r>
        <w:rPr>
          <w:rFonts w:ascii="Courier New" w:hAnsi="Courier New"/>
          <w:sz w:val="17"/>
        </w:rPr>
        <w:t xml:space="preserve">4</w:t>
      </w:r>
    </w:p>
    <w:p>
      <w:r>
        <w:rPr>
          <w:rFonts w:ascii="Courier New" w:hAnsi="Courier New"/>
          <w:sz w:val="17"/>
        </w:rPr>
        <w:t xml:space="preserve">Quartilobergrenze =    Kombinierte Kapitalpufferanforderung    x Qn</w:t>
      </w:r>
    </w:p>
    <w:p>
      <w:r>
        <w:rPr>
          <w:rFonts w:ascii="Courier New" w:hAnsi="Courier New"/>
          <w:sz w:val="17"/>
        </w:rPr>
        <w:t xml:space="preserve">4</w:t>
      </w:r>
    </w:p>
    <w:p>
      <w:r>
        <w:t xml:space="preserve">wobei Qn = die Ordinalzahl des betreffenden Quartils.</w:t>
      </w:r>
    </w:p>
    <w:p>
      <w:r>
        <w:rPr>
          <w:color w:val="555555"/>
          <w:sz w:val="17"/>
        </w:rPr>
        <w:t xml:space="preserve">Zitiervorschlag: § 58a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https://recht.nulegal.eu/gesetze/SAG/58a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