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SAG — Bewertung der Abwicklungsfähigkeit von Gruppen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Wenn die Abwicklungsbehörde gemäß § 155 für die Gruppenabwicklung zuständig ist, bewertet sie die Abwicklungsfähigkeit der entsprechenden Gruppe. Die Abwicklungsbehörde führt die Bewertung innerhalb eines Abwicklungskollegiums nach Abstimmung mit der konsolidierenden Aufsichtsbehörde, den für die Tochterunternehmen zuständigen Abwicklungsbehörden und den Abwicklungsbehörden der Mitgliedstaaten und Drittstaaten, in denen sich bedeutende Zweigniederlassungen befinden, soweit Belange dieser bedeutenden Zweigniederlassungen betroffen sind, durch.</w:t>
      </w:r>
    </w:p>
    <w:p>
      <w:r>
        <w:t xml:space="preserve">(2) Eine Gruppe ist abwicklungsfähig, wenn es aus Sicht der Abwicklungsbehörden möglich ist, über die Vermögen der Gruppenunternehmen entweder ein Insolvenzverfahren zu eröffnen und durchzuführen oder es durch Anwendung von Abwicklungsinstrumenten und -befugnissen abzuwickeln, sofern dabei</w:t>
      </w:r>
    </w:p>
    <w:p>
      <w:pPr>
        <w:ind w:left="420"/>
      </w:pPr>
      <w:r>
        <w:t xml:space="preserve">1. insbesondere in einer Situation allgemeiner finanzieller Instabilität oder bei Eintritt systemweiter Ereignisse, wesentliche nachteilige Auswirkungen auf Finanzsysteme in Mitgliedstaaten, in denen sich Unternehmen der Gruppe oder bedeutende Zweigniederlassungen befinden, anderen Mitgliedstaaten oder der Union insgesamt soweit möglich vermieden werden,</w:t>
      </w:r>
    </w:p>
    <w:p>
      <w:pPr>
        <w:ind w:left="420"/>
      </w:pPr>
      <w:r>
        <w:t xml:space="preserve">2. die Fortführung einschließlich der Möglichkeit der geordneten Abwicklung kritischer Funktionen gewährleistet ist, sofern der Geschäftsbetrieb des jeweiligen Gruppenunternehmens solche kritischen Funktionen umfasst, und</w:t>
      </w:r>
    </w:p>
    <w:p>
      <w:pPr>
        <w:ind w:left="420"/>
      </w:pPr>
      <w:r>
        <w:t xml:space="preserve">3. die Bedingungen des § 46 Absatz 3 Satz 1 Nummer 7 eingehalten werden.</w:t>
      </w:r>
    </w:p>
    <w:p>
      <w:r>
        <w:t xml:space="preserve">(2a) Die in Absatz 1 Satz 1 genannte Behörde bewertet in Fällen, in denen eine Gruppe aus mehr als einer Abwicklungsgruppe besteht, die Abwicklungsfähigkeit jeder Abwicklungsgruppe. Die Bewertung wird zusätzlich zu der Bewertung der Abwicklungsfähigkeit der gesamten Gruppe durchgeführt und findet im Rahmen der Verfahren nach den §§ 46 bis 48 statt.</w:t>
      </w:r>
    </w:p>
    <w:p>
      <w:r>
        <w:t xml:space="preserve">(3) Für die Zwecke der Bewertung der Abwicklungsfähigkeit gemäß den Absätzen 1 und 2 prüfen die Abwicklungsbehörden mindestens die in Abschnitt C des Anhangs zur Richtlinie 2014/59/EU genannten Aspekte. Darüber hinaus beachtet die Abwicklungsbehörde technische Regulierungsstandards, die nach Artikel 15 Absatz 4 der Richtlinie 2014/59/EU erlassen werden.</w:t>
      </w:r>
    </w:p>
    <w:p>
      <w:r>
        <w:t xml:space="preserve">(4) Die Bewertung der Abwicklungsfähigkeit nach dieser Vorschrift</w:t>
      </w:r>
    </w:p>
    <w:p>
      <w:pPr>
        <w:ind w:left="420"/>
      </w:pPr>
      <w:r>
        <w:t xml:space="preserve">1. erfolgt zeitgleich mit und für Zwecke der Erstellung und Aktualisierung des Abwicklungsplans gemäß § 46,</w:t>
      </w:r>
    </w:p>
    <w:p>
      <w:pPr>
        <w:ind w:left="420"/>
      </w:pPr>
      <w:r>
        <w:t xml:space="preserve">2. ergeht im Rahmen des Entscheidungsprozesses nach § 47 und</w:t>
      </w:r>
    </w:p>
    <w:p>
      <w:pPr>
        <w:ind w:left="420"/>
      </w:pPr>
      <w:r>
        <w:t xml:space="preserve">3. wird von den Abwicklungskollegien gemäß § 156 berücksichtigt.</w:t>
      </w:r>
    </w:p>
    <w:p>
      <w:r>
        <w:t xml:space="preserve">(5) Kommt die Abwicklungsbehörde im Rahmen ihrer Beteiligung an der Bewertung der Abwicklungsfähigkeit einer Gruppe zu einem negativen Ergebnis, informiert sie die Europäische Bankenaufsichtsbehörde.</w:t>
      </w:r>
    </w:p>
    <w:p>
      <w:r>
        <w:t xml:space="preserve">(6) § 47 Absatz 2 findet entsprechende Anwendung.</w:t>
      </w:r>
    </w:p>
    <w:p>
      <w:r>
        <w:rPr>
          <w:color w:val="555555"/>
          <w:sz w:val="17"/>
        </w:rPr>
        <w:t xml:space="preserve">Zitiervorschlag: § 58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