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SAG — Verstöße gegen die Mindestanforderung an Eigenmittel und berücksichtigungsfähige Verbindlichkeiten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28.12.2020 (konsolidierte Textfassung, kein amtliches Inkrafttretensdatum)</w:t>
      </w:r>
    </w:p>
    <w:p>
      <w:r>
        <w:t xml:space="preserve">(1) Bei einem Verstoß gegen die Mindestanforderung an Eigenmittel und berücksichtigungsfähige Verbindlichkeiten nach § 49e oder § 49f können die Aufsichtsbehörde und die Abwicklungsbehörde im Rahmen ihrer jeweiligen Zuständigkeit von ihren Befugnissen nach den §§ 36, 58, 58a, 59, 60, 172 und 174 oder § 45 des Kreditwesengesetzes Gebrauch machen. Die Abwicklungsbehörde oder die Aufsichtsbehörde kann im Rahmen ihrer jeweiligen Zuständigkeit auch gemäß den §§ 62 bis 64, 77 Absatz 6 eine Bewertung vornehmen, ob die Voraussetzungen des § 62 Absatz 1 Satz 1 Nummer 1 vorliegen.</w:t>
      </w:r>
    </w:p>
    <w:p>
      <w:r>
        <w:t xml:space="preserve">(2) Die Abwicklungsbehörden und die Aufsichtsbehörden informieren sich über die Ausübung ihrer jeweiligen Befugnisse gemäß Absatz 1.</w:t>
      </w:r>
    </w:p>
    <w:p>
      <w:r>
        <w:rPr>
          <w:color w:val="555555"/>
          <w:sz w:val="17"/>
        </w:rPr>
        <w:t xml:space="preserve">Zitiervorschlag: § 53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