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49h SAG — Anwendung der Mindestanforderung an Eigenmittel und berücksichtigungsfähige Verbindlichkeiten auf Liquidationseinheiten</w:t>
      </w:r>
    </w:p>
    <w:p>
      <w:r>
        <w:rPr>
          <w:color w:val="555555"/>
          <w:sz w:val="18"/>
        </w:rPr>
        <w:t xml:space="preserve">Sanierungs- und Abwicklungsgesetz</w:t>
      </w:r>
    </w:p>
    <w:p>
      <w:r>
        <w:rPr>
          <w:color w:val="555555"/>
          <w:sz w:val="18"/>
        </w:rPr>
        <w:t xml:space="preserve">Stand: 23.12.2025 (konsolidierte Textfassung, kein amtliches Inkrafttretensdatum)</w:t>
      </w:r>
    </w:p>
    <w:p>
      <w:r>
        <w:t xml:space="preserve">(1) Die Abwicklungsbehörde legt die in § 49 Absatz 1 genannte Anforderung nicht für Liquidationseinheiten fest.</w:t>
      </w:r>
    </w:p>
    <w:p>
      <w:r>
        <w:t xml:space="preserve">(2) Abweichend von Absatz 1 kann die Abwicklungsbehörde bewerten, ob es gerechtfertigt ist, die in § 49 Absatz 1 genannte Anforderung für eine Liquidationseinheit auf Einzelbasis in Höhe eines Betrags festzulegen, der den Betrag, der im Hinblick auf die Verlustabsorption nach § 49c Absatz 2 Nummer 1 ausreicht, überschreitet. Die Abwicklungsbehörde berücksichtigt im Rahmen ihrer Bewertung insbesondere mögliche Auswirkungen auf die Finanzstabilität und das Ansteckungsrisiko für das Finanzsystem, auch im Hinblick auf die Finanzierungskapazität von Einlagensicherungssystemen. Legt die Abwicklungsbehörde die in § 49 Absatz 1 genannte Anforderung fest, so erfüllt die Liquidationseinheit diese Anforderung durch:</w:t>
      </w:r>
    </w:p>
    <w:p>
      <w:pPr>
        <w:ind w:left="420"/>
      </w:pPr>
      <w:r>
        <w:t xml:space="preserve">1. Eigenmittel,</w:t>
      </w:r>
    </w:p>
    <w:p>
      <w:pPr>
        <w:ind w:left="420"/>
      </w:pPr>
      <w:r>
        <w:t xml:space="preserve">2. Verbindlichkeiten, die die in Artikel 72a der Verordnung (EU) Nr. 575/2013, mit Ausnahme des Artikels 72b Absatz 2 Buchstabe b und d der genannten Verordnung, aufgeführten Kriterien für die Berücksichtigungsfähigkeit erfüllen, oder</w:t>
      </w:r>
    </w:p>
    <w:p>
      <w:pPr>
        <w:ind w:left="420"/>
      </w:pPr>
      <w:r>
        <w:t xml:space="preserve">3. die in § 49b Absatz 2 genannten Verbindlichkeiten.</w:t>
      </w:r>
    </w:p>
    <w:p>
      <w:r>
        <w:t xml:space="preserve">(3) Artikel 77 Absatz 2 und Artikel 78a der Verordnung (EU) Nr. 575/2013 gelten nicht für Liquidationseinheiten, für die die Abwicklungsbehörde die in § 49 Absatz 1 genannte Anforderung nicht festgelegt hat.</w:t>
      </w:r>
    </w:p>
    <w:p>
      <w:r>
        <w:t xml:space="preserve">(4) Positionen in Eigenmittelinstrumenten und Instrumenten berücksichtigungsfähiger Verbindlichkeiten, die von Tochterinstituten begeben werden, die Liquidationseinheiten sind, für die die Abwicklungsbehörde die in § 49 Absatz 1 genannte Anforderung nicht festgelegt hat, werden nicht nach Artikel 72e Absatz 5 der Verordnung (EU) Nr. 575/2013 in Abzug gebracht.</w:t>
      </w:r>
    </w:p>
    <w:p>
      <w:r>
        <w:t xml:space="preserve">(5) Abweichend von Absatz 4 bringt ein Institut oder gruppenangehöriges Unternehmen, das selbst keine Abwicklungseinheit, sondern Tochterunternehmen einer Abwicklungseinheit oder eines Drittlandunternehmens ist, das eine Abwicklungseinheit wäre, wenn es in der Union niedergelassen wäre, seine Positionen in Eigenmittelinstrumenten in Tochterinstituten, die derselben Abwicklungsgruppe angehören und bei denen es sich um Liquidationseinheiten handelt, für die die Abwicklungsbehörde die Anforderung nach § 49 Absatz 1 nicht festgelegt hat, in Abzug, wenn der Gesamtbetrag dieser Positionen 7 Prozent des Gesamtbetrags seiner Eigenmittel und Verbindlichkeiten, die die in § 49f Absatz 2 festgelegten Kriterien für die Berücksichtigungsfähigkeit erfüllen, entspricht oder übersteigt. Die Bestimmung der Beträge erfolgt jährlich zum 31. Dezember als Durchschnitt der letzten zwölf Monate.</w:t>
      </w:r>
    </w:p>
    <w:p>
      <w:r>
        <w:rPr>
          <w:color w:val="555555"/>
          <w:sz w:val="17"/>
        </w:rPr>
        <w:t xml:space="preserve">Zitiervorschlag: § 49h 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https://recht.nulegal.eu/gesetze/SAG/49h</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