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49g SAG — Ausnahmen für eine Zentralorganisation und CRR-Kreditinstitute, die einer Zentralorganisation ständig zugeordnet sind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Die Abwicklungsbehörde kann die Zentralorganisation oder ein CRR-Kreditinstitut, das einer Zentralorganisation ständig zugeordnet ist, von der Anwendung des § 49f teilweise oder ganz ausnehmen, wenn</w:t>
      </w:r>
    </w:p>
    <w:p>
      <w:pPr>
        <w:ind w:left="420"/>
      </w:pPr>
      <w:r>
        <w:t xml:space="preserve">1. das CRR-Kreditinstitut und die Zentralorganisation</w:t>
      </w:r>
    </w:p>
    <w:p>
      <w:pPr>
        <w:ind w:left="780"/>
      </w:pPr>
      <w:r>
        <w:t xml:space="preserve">a) der Beaufsichtigung durch dieselbe Aufsichtsbehörde unterliegen,</w:t>
      </w:r>
    </w:p>
    <w:p>
      <w:pPr>
        <w:ind w:left="780"/>
      </w:pPr>
      <w:r>
        <w:t xml:space="preserve">b) im Inland niedergelassen sind und</w:t>
      </w:r>
    </w:p>
    <w:p>
      <w:pPr>
        <w:ind w:left="780"/>
      </w:pPr>
      <w:r>
        <w:t xml:space="preserve">c) Teil derselben Abwicklungsgruppe sind,</w:t>
      </w:r>
    </w:p>
    <w:p>
      <w:pPr>
        <w:ind w:left="420"/>
      </w:pPr>
      <w:r>
        <w:t xml:space="preserve">2. die Verbindlichkeiten der Zentralorganisation und der ihr ständig zugeordneten CRR-Kreditinstitute gemeinsame Verbindlichkeiten sind oder die Verbindlichkeiten der ständig zugeordneten Kreditinstitute von der Zentralorganisation in vollem Umfang garantiert werden,</w:t>
      </w:r>
    </w:p>
    <w:p>
      <w:pPr>
        <w:ind w:left="420"/>
      </w:pPr>
      <w:r>
        <w:t xml:space="preserve">3. die Mindestanforderung an Eigenmittel und berücksichtigungsfähige Verbindlichkeiten sowie die Anforderungen an die Solvabilität und Liquidität der Zentralorganisation sowie aller ihr ständig zugeordneten CRR-Kreditinstitute insgesamt auf der Grundlage konsolidierter Abschlüsse dieser Institute überwacht werden,</w:t>
      </w:r>
    </w:p>
    <w:p>
      <w:pPr>
        <w:ind w:left="420"/>
      </w:pPr>
      <w:r>
        <w:t xml:space="preserve">4. im Fall von Ausnahmen für ein einer Zentralorganisation ständig zugeordnetes CRR-Kreditinstitut die Leitung der Zentralorganisation befugt ist, der Leitung der ihr ständig zugeordneten Institute Weisungen zu erteilen,</w:t>
      </w:r>
    </w:p>
    <w:p>
      <w:pPr>
        <w:ind w:left="420"/>
      </w:pPr>
      <w:r>
        <w:t xml:space="preserve">5. die betreffende Abwicklungsgruppe die Anforderung nach § 49e Absatz 3 erfüllt und</w:t>
      </w:r>
    </w:p>
    <w:p>
      <w:pPr>
        <w:ind w:left="420"/>
      </w:pPr>
      <w:r>
        <w:t xml:space="preserve">6. kein wesentliches tatsächliches oder rechtliches Hindernis für die unverzügliche Übertragung von Eigenmitteln oder die Rückzahlung von Verbindlichkeiten zwischen der Zentralorganisation und den ihr ständig zugeordneten CRR-Kreditinstituten im Fall der Abwicklung vorhanden oder abzusehen ist.</w:t>
      </w:r>
    </w:p>
    <w:p>
      <w:r>
        <w:rPr>
          <w:color w:val="555555"/>
          <w:sz w:val="17"/>
        </w:rPr>
        <w:t xml:space="preserve">Zitiervorschlag: § 49g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https://recht.nulegal.eu/gesetze/SAG/49g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