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49e SAG — Anwendung der Mindestanforderung an Eigenmittel und berücksichtigungsfähige Verbindlichkeiten auf Abwicklungseinheiten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31.03.2026 (konsolidierte Textfassung, kein amtliches Inkrafttretensdatum)</w:t>
      </w:r>
    </w:p>
    <w:p>
      <w:r>
        <w:t xml:space="preserve">(1) Abwicklungseinheiten kommen den in den §§ 49b bis 49d festgelegten Anforderungen auf konsolidierter Basis auf Ebene der Abwicklungsgruppe nach.</w:t>
      </w:r>
    </w:p>
    <w:p>
      <w:r>
        <w:t xml:space="preserve">(2) Die Abwicklungsbehörde legt die in § 49 Absatz 1 genannte Anforderung an eine Abwicklungseinheit auf konsolidierter Basis auf Ebene der Abwicklungsgruppe gemäß § 50 auf der Grundlage der Anforderungen nach den §§ 49b bis 49d und abhängig davon fest, ob die Tochterunternehmen der Gruppe in Drittstaaten dem Abwicklungsplan zufolge getrennt abzuwickeln sind.</w:t>
      </w:r>
    </w:p>
    <w:p>
      <w:r>
        <w:t xml:space="preserve">(3) Im Fall von Abwicklungsgruppen, die gemäß § 2 Absatz 3 Nummer 3b Buchstabe b bestimmt wurden, entscheidet die Abwicklungsbehörde nach Maßgabe wechselseitiger Sicherungs- und Einstandsvereinbarungen und der bevorzugten Abwicklungsstrategie, welche Unternehmen der Abwicklungsgruppe den Anforderungen nach § 49c Absatz 3 bis 5 sowie § 49d Absatz 1 nachkommen müssen, um zu gewährleisten, dass die Abwicklungsgruppe als Ganzes den Anforderungen nach den Absätzen 1 und 2 nachkommt und wie diese Unternehmen dies im Einklang mit dem Abwicklungsplan erfüllen sollen.</w:t>
      </w:r>
    </w:p>
    <w:p>
      <w:r>
        <w:rPr>
          <w:color w:val="555555"/>
          <w:sz w:val="17"/>
        </w:rPr>
        <w:t xml:space="preserve">Zitiervorschlag: § 49e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https://recht.nulegal.eu/gesetze/SAG/49e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