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49c SAG — Festlegung der Mindestanforderung an Eigenmittel und berücksichtigungsfähige Verbindlichkeiten</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Die Anforderung nach § 49 Absatz 1 wird von der Abwicklungsbehörde nach Anhörung der Aufsichtsbehörde anhand folgender Kriterien bestimmt:</w:t>
      </w:r>
    </w:p>
    <w:p>
      <w:pPr>
        <w:ind w:left="420"/>
      </w:pPr>
      <w:r>
        <w:t xml:space="preserve">1. der Notwendigkeit, sicherzustellen, dass die Abwicklungsgruppe durch Anwendung der Abwicklungsinstrumente, gegebenenfalls auch des Instruments der Gläubigerbeteiligung, auf die Abwicklungseinheit den Abwicklungszielen entsprechend abgewickelt werden kann;</w:t>
      </w:r>
    </w:p>
    <w:p>
      <w:pPr>
        <w:ind w:left="420"/>
      </w:pPr>
      <w:r>
        <w:t xml:space="preserve">2. der Notwendigkeit, gegebenenfalls sicherzustellen, dass die Abwicklungseinheit und ihre Tochterunternehmen, bei denen es sich um Institute oder gruppenangehörige Unternehmen aber nicht um Abwicklungseinheiten handelt, über ausreichende Eigenmittel und berücksichtigungsfähige Verbindlichkeiten verfügen, damit für den Fall, dass bei ihnen vom Instrument der Gläubigerbeteiligung beziehungsweise von den Herabschreibungs- und Umwandlungsbefugnissen Gebrauch gemacht wird, Verluste absorbiert werden können und weiterhin die Möglichkeit besteht, zu einer Gesamtkapitalquote und gegebenenfalls der Verschuldungsquote der betreffenden Unternehmen auf ein Niveau zurückzukehren, das erforderlich ist, damit sie auch weiterhin den Zulassungsvoraussetzungen genügen und die Tätigkeiten, für die sie gemäß der Richtlinie 2013/36/EU oder der Richtlinie 2014/65/EU zugelassen sind, weiter ausüben können;</w:t>
      </w:r>
    </w:p>
    <w:p>
      <w:pPr>
        <w:ind w:left="420"/>
      </w:pPr>
      <w:r>
        <w:t xml:space="preserve">3. der Notwendigkeit, sicherzustellen, dass in Fällen, in denen der Abwicklungsplan bereits die Möglichkeit vorsieht, bestimmte Kategorien berücksichtigungsfähiger Verbindlichkeiten gemäß § 92 Absatz 1 vom Instrument der Gläubigerbeteiligung auszunehmen oder im Rahmen einer teilweisen Übertragung vollständig auf einen übernehmenden Rechtsträger zu übertragen, die Abwicklungseinheit über ausreichende Eigenmittel und andere berücksichtigungsfähige Verbindlichkeiten verfügt, damit Verluste absorbiert werden können und die Gesamtkapitalquote und gegebenenfalls die Verschuldungsquote der Abwicklungseinheit wieder auf ein Niveau angehoben werden können, das erforderlich ist, damit sie auch weiterhin den Zulassungsvoraussetzungen genügt und die Tätigkeiten, für die sie gemäß der Richtlinie 2013/36/EU oder der Richtlinie 2014/65/EU zugelassen ist, weiter ausüben kann;</w:t>
      </w:r>
    </w:p>
    <w:p>
      <w:pPr>
        <w:ind w:left="420"/>
      </w:pPr>
      <w:r>
        <w:t xml:space="preserve">4. von Größe, Geschäftsmodell, Refinanzierungsmodell und Risikoprofil des Unternehmens;</w:t>
      </w:r>
    </w:p>
    <w:p>
      <w:pPr>
        <w:ind w:left="420"/>
      </w:pPr>
      <w:r>
        <w:t xml:space="preserve">5. des Umfangs, in dem der Ausfall des Unternehmens die Finanzstabilität beeinträchtigen würde, unter anderem durch Ansteckung anderer Institute oder Unternehmen auf Grund seiner Verflechtungen mit anderen Instituten oder Unternehmen oder mit dem übrigen Finanzsystem.</w:t>
      </w:r>
    </w:p>
    <w:p>
      <w:r>
        <w:t xml:space="preserve">(2) Ist im Abwicklungsplan vorgesehen, dass die Abwicklungsmaßnahmen gemäß dem in § 40 Absatz 2 Nummer 2 und 3 genannten Szenario zu treffen sind oder dass von den Befugnissen, relevante Kapitalinstrumente und berücksichtigungsfähige Verbindlichkeiten gemäß § 65 Absatz 4 herabzuschreiben oder umzuwandeln, Gebrauch zu machen ist, muss die in § 49 Absatz 1 genannte Anforderung hoch genug sein, um Folgendes zu gewährleisten:</w:t>
      </w:r>
    </w:p>
    <w:p>
      <w:pPr>
        <w:ind w:left="420"/>
      </w:pPr>
      <w:r>
        <w:t xml:space="preserve">1. die erwarteten Verluste, die das Unternehmen zu tragen hat, werden vollständig absorbiert (Verlustabsorption);</w:t>
      </w:r>
    </w:p>
    <w:p>
      <w:pPr>
        <w:ind w:left="420"/>
      </w:pPr>
      <w:r>
        <w:t xml:space="preserve">2. die Abwicklungseinheit und ihre Tochterunternehmen, bei denen es sich um Institute oder gruppenangehörige Unternehmen, aber nicht um Abwicklungseinheiten handelt, werden auf ein Niveau rekapitalisiert, das es ihnen ermöglicht, weiterhin den Zulassungsvoraussetzungen zu genügen und die Tätigkeiten, für die sie gemäß der Richtlinie 2013/36/EU, der Richtlinie 2014/65/EU oder vergleichbaren Zulassungsvoraussetzungen zugelassen sind, für einen angemessenen Zeitraum, der nicht länger als ein Jahr ist, weiter auszuüben (Rekapitalisierung).</w:t>
      </w:r>
    </w:p>
    <w:p>
      <w:r>
        <w:t xml:space="preserve">(3) Für Abwicklungseinheiten entspricht der aus der Anforderung nach Absatz 2 Satz 1 resultierende Betrag</w:t>
      </w:r>
    </w:p>
    <w:p>
      <w:pPr>
        <w:ind w:left="420"/>
      </w:pPr>
      <w:r>
        <w:t xml:space="preserve">1. für die Zwecke der Berechnung der Anforderung nach § 49 Absatz 1 nach Maßgabe von § 49 Absatz 2 Nummer 1 der Summe aus</w:t>
      </w:r>
    </w:p>
    <w:p>
      <w:pPr>
        <w:ind w:left="780"/>
      </w:pPr>
      <w:r>
        <w:t xml:space="preserve">a) den bei der Abwicklung zu absorbierenden Verlusten, die den Anforderungen des Artikels 92 Absatz 1 Buchstabe c der Verordnung (EU) Nr. 575/2013 und des § 6c Absatz 1 des Kreditwesengesetzes an die Abwicklungseinheit auf konsolidierter Basis auf Ebene der Abwicklungsgruppe entsprechen,</w:t>
      </w:r>
    </w:p>
    <w:p>
      <w:pPr>
        <w:ind w:left="780"/>
      </w:pPr>
      <w:r>
        <w:t xml:space="preserve">b) einem Rekapitalisierungsbetrag, der es der aus der Abwicklung hervorgehenden Abwicklungsgruppe ermöglicht, die für sie geltende Anforderung an die Gesamtkapitalquote nach Artikel 92 Absatz 1 Buchstabe c der Verordnung (EU) Nr. 575/2013 und die für sie nach § 6c Absatz 1 des Kreditwesengesetzes geltende Anforderung auf konsolidierter Basis auf Ebene der Abwicklungsgruppe nach Durchführung der bevorzugten Abwicklungsstrategie wieder zu erfüllen, und</w:t>
      </w:r>
    </w:p>
    <w:p>
      <w:pPr>
        <w:ind w:left="420"/>
      </w:pPr>
      <w:r>
        <w:t xml:space="preserve">2. für die Zwecke der Berechnung der Anforderung nach § 49 Absatz 1 nach Maßgabe von § 49 Absatz 2 Nummer 2 der Summe aus</w:t>
      </w:r>
    </w:p>
    <w:p>
      <w:pPr>
        <w:ind w:left="780"/>
      </w:pPr>
      <w:r>
        <w:t xml:space="preserve">a) den bei der Abwicklung zu absorbierenden Verlusten, die der Anforderung an die Verschuldungsquote der Abwicklungseinheit nach Artikel 92 Absatz 1 Buchstabe d der Verordnung (EU) Nr. 575/2013 auf konsolidierter Basis auf Ebene der Abwicklungsgruppe entsprechen, und</w:t>
      </w:r>
    </w:p>
    <w:p>
      <w:pPr>
        <w:ind w:left="780"/>
      </w:pPr>
      <w:r>
        <w:t xml:space="preserve">b) einem Rekapitalisierungsbetrag, der es der aus der Abwicklung hervorgehenden Abwicklungsgruppe ermöglicht, die Anforderung an die Verschuldungsquote nach Artikel 92 Absatz 1 Buchstabe d der Verordnung (EU) Nr. 575/2013 auf konsolidierter Basis auf Ebene der Abwicklungsgruppe nach Durchführung der bevorzugten Abwicklungsstrategie wieder zu erfüllen.</w:t>
      </w:r>
    </w:p>
    <w:p>
      <w:r>
        <w:t xml:space="preserve">Für die Zwecke des § 49 Absatz 2 Nummer 1 wird die in § 49 Absatz 1 genannte Anforderung als der gemäß Satz 1 Nummer 1 berechnete Verlustabsorptions- und Rekapitalisierungsbetrag geteilt durch den Gesamtrisikobetrag als Prozentwert ausgedrückt. Für die Zwecke des § 49 Absatz 2 Nummer 2 wird die in § 49 Absatz 1 genannte Anforderung als der gemäß Satz 1 Nummer 2 berechnete Betrag geteilt durch die Gesamtrisikopositionsmessgröße als Prozentwert ausgedrückt. Bei der Festlegung der individuellen Anforderung nach Satz 1 Nummer 2 berücksichtigt die Abwicklungsbehörde die Anforderungen nach § 7a Absatz 3 und 4 des Restrukturierungsfondsgesetzes.</w:t>
      </w:r>
    </w:p>
    <w:p>
      <w:r>
        <w:t xml:space="preserve">(4) Bei der Festlegung der in Absatz 3 genannten Rekapitalisierungsbeträge verfährt die Abwicklungsbehörde wie folgt:</w:t>
      </w:r>
    </w:p>
    <w:p>
      <w:pPr>
        <w:ind w:left="420"/>
      </w:pPr>
      <w:r>
        <w:t xml:space="preserve">1. sie verwendet die jüngsten gemeldeten Werte für den relevanten Gesamtrisikobetrag oder die relevante Gesamtrisikopositionsmessgröße für die Verschuldungsquote nach Anpassung an jegliche Änderungen infolge der im Abwicklungsplan vorgesehenen Abwicklungsmaßnahmen und</w:t>
      </w:r>
    </w:p>
    <w:p>
      <w:pPr>
        <w:ind w:left="420"/>
      </w:pPr>
      <w:r>
        <w:t xml:space="preserve">2. sie passt nach Anhörung der Aufsichtsbehörde den Betrag, der den nach § 6c Absatz 1 des Kreditwesengesetzes bestehenden Anforderungen entspricht, nach unten oder oben an, um die nach Durchführung der bevorzugten Abwicklungsstrategie für die Abwicklungseinheit anzuwendende Anforderung zu bestimmen.</w:t>
      </w:r>
    </w:p>
    <w:p>
      <w:r>
        <w:t xml:space="preserve">(4a) Die Abwicklungsbehörde kann die Anforderung nach Absatz 3 Satz 1 Nummer 1 Buchstabe b um einen Betrag erhöhen, der notwendig ist, um sicherzustellen, dass das Unternehmen nach der Abwicklung für einen angemessenen Zeitraum, der maximal ein Jahr beträgt, in der Lage ist, ausreichendes Marktvertrauen in das Unternehmen aufrechtzuerhalten. Erhöht die Abwicklungsbehörde die Anforderung nach Satz 1, so wird dieser Betrag der nach Anwendung der Abwicklungsinstrumente anzuwendenden kombinierten Kapitalpufferanforderung abzüglich der Anforderung nach § 10i Absatz 1 Nummer 2 des Kreditwesengesetzes gleichgesetzt. Der Betrag gemäß Satz 1 wird nach unten angepasst, wenn die Abwicklungsbehörde nach Anhörung der Aufsichtsbehörde feststellt, dass es umsetzbar und glaubhaft ist, dass ein geringerer Betrag ausreicht, um das Marktvertrauen aufrechtzuerhalten und sowohl die Fortführung kritischer Funktionen des Instituts oder des gruppenangehörigen Unternehmens als auch seinen Zugang zu Finanzmitteln sicherzustellen, ohne dass nach Durchführung der Abwicklungsstrategie eine außerordentliche finanzielle Unterstützung aus öffentlichen Mitteln erforderlich wäre, die über die Beiträge aus den Abwicklungsfinanzierungsmechanismen nach § 3a Absatz 4 und § 7a Absatz 3 und 4 des Restrukturierungsfondsgesetzes hinausgeht. Dieser Betrag wird erhöht, wenn die Abwicklungsbehörde nach Anhörung der Aufsichtsbehörde feststellt, dass ein höherer Betrag notwendig ist, um für einen angemessenen Zeitraum, der nicht länger als ein Jahr ist, ein ausreichendes Marktvertrauen aufrechtzuerhalten und sowohl die Fortführung kritischer Funktionen des Instituts oder des gruppenangehörigen Unternehmens als auch seinen Zugang zu Finanzmitteln sicherzustellen, ohne dass über die Beiträge aus den Abwicklungsfinanzierungsmechanismen nach § 3a Absatz 4 und § 7a Absatz 3 und 4 des Restrukturierungsfondsgesetzes hinaus eine außerordentliche finanzielle Unterstützung aus öffentlichen Mitteln erforderlich wäre.</w:t>
      </w:r>
    </w:p>
    <w:p>
      <w:r>
        <w:t xml:space="preserve">(5) Für Abwicklungseinheiten, die nicht den Anforderungen gemäß Artikel 92a der Verordnung (EU) Nr. 575/2013 unterliegen und die Teil einer Abwicklungsgruppe sind, bei der der Gesamtwert der Vermögenswerte über 100 Milliarden Euro liegt, entspricht die Höhe der in Absatz 3 genannten Anforderung mindestens</w:t>
      </w:r>
    </w:p>
    <w:p>
      <w:pPr>
        <w:ind w:left="420"/>
      </w:pPr>
      <w:r>
        <w:t xml:space="preserve">1. 13,5 Prozent, sofern gemäß § 49 Absatz 2 Nummer 1 berechnet, und</w:t>
      </w:r>
    </w:p>
    <w:p>
      <w:pPr>
        <w:ind w:left="420"/>
      </w:pPr>
      <w:r>
        <w:t xml:space="preserve">2. 5 Prozent, sofern gemäß § 49 Absatz 2 Nummer 2 berechnet.</w:t>
      </w:r>
    </w:p>
    <w:p>
      <w:r>
        <w:t xml:space="preserve">Abweichend von § 49b erfüllen Abwicklungseinheiten die Anforderung gemäß Satz 1 mit Eigenmitteln, nachrangigen berücksichtigungsfähigen Instrumenten oder mit Verbindlichkeiten im Sinne von § 49b Absatz 3.</w:t>
      </w:r>
    </w:p>
    <w:p>
      <w:r>
        <w:t xml:space="preserve">(6) Die Abwicklungsbehörde kann nach Anhörung der Aufsichtsbehörde entscheiden, die Anforderungen nach Absatz 5 auf eine Abwicklungseinheit anzuwenden, die den Anforderungen gemäß Artikel 92a der Verordnung (EU) Nr. 575/2013 nicht unterliegt und die Teil einer Abwicklungsgruppe ist, bei der der Gesamtwert der Vermögenswerte unter 100 Milliarden Euro liegt, und bei der die Abwicklungsbehörde zu dem Ergebnis kommt, dass sie bei einem Ausfall mit hinreichender Wahrscheinlichkeit ein Systemrisiko darstellt. Bei ihrer Entscheidung berücksichtigt die Abwicklungsbehörde die folgenden Kriterien:</w:t>
      </w:r>
    </w:p>
    <w:p>
      <w:pPr>
        <w:ind w:left="420"/>
      </w:pPr>
      <w:r>
        <w:t xml:space="preserve">1. das Überwiegen von Einlagen und das Fehlen von Schuldtiteln im Refinanzierungsmodell,</w:t>
      </w:r>
    </w:p>
    <w:p>
      <w:pPr>
        <w:ind w:left="420"/>
      </w:pPr>
      <w:r>
        <w:t xml:space="preserve">2. inwieweit der Zugang zu den Kapitalmärkten für berücksichtigungsfähige Verbindlichkeiten beschränkt ist und</w:t>
      </w:r>
    </w:p>
    <w:p>
      <w:pPr>
        <w:ind w:left="420"/>
      </w:pPr>
      <w:r>
        <w:t xml:space="preserve">3. inwieweit die Abwicklungseinheit auf den Rückgriff auf hartes Kernkapital angewiesen ist, um die Anforderung nach § 49e einzuhalten.</w:t>
      </w:r>
    </w:p>
    <w:p>
      <w:r>
        <w:t xml:space="preserve">Liegt keine Entscheidung nach Satz 1 vor, so bleiben Entscheidungen nach § 49b Absatz 5 hiervon unberührt. Die Abwicklungsbehörde teilt dem Ausschuss Entscheidungen nach Satz 1 mit, sofern es sich um Abwicklungseinheiten handelt, für die der Ausschuss zuständig ist.</w:t>
      </w:r>
    </w:p>
    <w:p>
      <w:r>
        <w:t xml:space="preserve">(7) Für Unternehmen, die selbst keine Abwicklungseinheiten sind, entspricht die in Absatz 2 Satz 1 genannte Anforderung</w:t>
      </w:r>
    </w:p>
    <w:p>
      <w:pPr>
        <w:ind w:left="420"/>
      </w:pPr>
      <w:r>
        <w:t xml:space="preserve">1. für die Zwecke der Berechnung der Anforderung nach § 49 Absatz 1 nach Maßgabe von § 49 Absatz 2 Nummer 1 der Summe aus</w:t>
      </w:r>
    </w:p>
    <w:p>
      <w:pPr>
        <w:ind w:left="780"/>
      </w:pPr>
      <w:r>
        <w:t xml:space="preserve">a) den zu absorbierenden Verlusten, die den Anforderungen an das Unternehmen nach Artikel 92 Absatz 1 Buchstabe c der Verordnung (EU) Nr. 575/2013 und § 6c Absatz 1 des Kreditwesengesetzes entsprechen, und</w:t>
      </w:r>
    </w:p>
    <w:p>
      <w:pPr>
        <w:ind w:left="780"/>
      </w:pPr>
      <w:r>
        <w:t xml:space="preserve">b) einem Rekapitalisierungsbetrag, der es dem Unternehmen ermöglicht, die für es geltende Anforderung an die Gesamtkapitalquote nach Artikel 92 Absatz 1 Buchstabe c der Verordnung (EU) Nr. 575/2013 und die Anforderung nach § 6c Absatz 1 des Kreditwesengesetzes nach Ausübung der Befugnis zur Herabschreibung oder Umwandlung von relevanten Kapitalinstrumenten und berücksichtigungsfähigen Verbindlichkeiten gemäß § 65 Absatz 4 oder nach Abwicklung der Abwicklungsgruppe wieder zu erfüllen, und</w:t>
      </w:r>
    </w:p>
    <w:p>
      <w:pPr>
        <w:ind w:left="420"/>
      </w:pPr>
      <w:r>
        <w:t xml:space="preserve">2. für die Zwecke der Berechnung der Anforderung nach § 49 Absatz 1 nach Maßgabe von § 49 Absatz 2 Nummer 2 der Summe aus</w:t>
      </w:r>
    </w:p>
    <w:p>
      <w:pPr>
        <w:ind w:left="780"/>
      </w:pPr>
      <w:r>
        <w:t xml:space="preserve">a) den zu absorbierenden Verlusten, die der Anforderung an die Verschuldungsquote des Unternehmens nach Artikel 92 Absatz 1 Buchstabe d der Verordnung (EU) Nr. 575/2013 entsprechen, und</w:t>
      </w:r>
    </w:p>
    <w:p>
      <w:pPr>
        <w:ind w:left="780"/>
      </w:pPr>
      <w:r>
        <w:t xml:space="preserve">b) einem Rekapitalisierungsbetrag, der es dem Unternehmen ermöglicht, die Anforderung an die Verschuldungsquote nach Artikel 92 Absatz 1 Buchstabe d der Verordnung (EU) Nr. 575/2013 nach Ausübung der Befugnis zur Herabschreibung oder Umwandlung von relevanten Kapitalinstrumenten und berücksichtigungsfähigen Verbindlichkeiten gemäß § 65 Absatz 4 oder nach Abwicklung der Abwicklungsgruppe wieder zu erfüllen.</w:t>
      </w:r>
    </w:p>
    <w:p>
      <w:r>
        <w:t xml:space="preserve">Für die Zwecke des § 49 Absatz 2 Nummer 1 wird die in § 49 Absatz 1 genannte Anforderung als der gemäß Satz 1 Nummer 1 berechnete Betrag geteilt durch den Gesamtrisikobetrag als Prozentwert ausgedrückt. Für die Zwecke des § 49 Absatz 2 Nummer 2 wird die in § 49 Absatz 1 genannte Anforderung als der gemäß Satz 1 Nummer 2 berechnete Betrag geteilt durch die Gesamtrisikopositionsmessgröße als Prozentwert ausgedrückt. Bei der Festlegung der individuellen Anforderung nach Satz 1 Nummer 2 berücksichtigt die Abwicklungsbehörde die Anforderungen nach § 7a Absatz 3 und 4 des Restrukturierungsfondsgesetzes.</w:t>
      </w:r>
    </w:p>
    <w:p>
      <w:r>
        <w:t xml:space="preserve">(8) Bei der Festlegung der in Absatz 7 genannten Rekapitalisierungsbeträge hat die Abwicklungsbehörde</w:t>
      </w:r>
    </w:p>
    <w:p>
      <w:pPr>
        <w:ind w:left="420"/>
      </w:pPr>
      <w:r>
        <w:t xml:space="preserve">1. die jüngsten gemeldeten Werte für den relevanten Gesamtrisikobetrag oder die relevante Gesamtrisikomessgröße nach Anpassung an alle Änderungen infolge der im Abwicklungsplan vorgesehenen Maßnahmen zu verwenden und</w:t>
      </w:r>
    </w:p>
    <w:p>
      <w:pPr>
        <w:ind w:left="420"/>
      </w:pPr>
      <w:r>
        <w:t xml:space="preserve">2. nach Anhörung der Aufsichtsbehörde den Betrag, der der in § 6c Absatz 1 des Kreditwesengesetzes genannten Anforderung entspricht, nach unten oder oben anzupassen, um die Anforderung zu bestimmen, die nach Ausübung der Befugnis zur Herabschreibung oder Umwandlung von relevanten Kapitalinstrumenten und berücksichtigungsfähigen Verbindlichkeiten gemäß § 65 Absatz 4 oder nach Abwicklung der Abwicklungsgruppe für das entsprechende Unternehmen anzuwenden ist.</w:t>
      </w:r>
    </w:p>
    <w:p>
      <w:r>
        <w:t xml:space="preserve">(9) Die Abwicklungsbehörde kann die Anforderung nach Absatz 7 Satz 1 Nummer 1 Buchstabe b um einen Betrag erhöhen, der notwendig ist, um sicherzustellen, dass das Unternehmen nach Ausübung der Befugnis zur Herabschreibung oder Umwandlung von relevanten Kapitalinstrumenten und berücksichtigungsfähigen Verbindlichkeiten nach § 65 Absatz 4 für einen angemessenen Zeitraum, der nicht länger als ein Jahr ist, in der Lage ist, ausreichendes Marktvertrauen aufrechtzuerhalten. Erhöht die Abwicklungsbehörde die Anforderung nach Satz 1, so wird dieser Betrag der nach Ausübung der Befugnis nach den §§ 65, 77 und 89 oder nach Abwicklung der Abwicklungsgruppe anzuwendenden kombinierten Kapitalpufferanforderung abzüglich der Anforderung nach § 10i Absatz 1 Nummer 2 des Kreditwesengesetzes gleichgesetzt. Die in Satz 1 genannte Anforderung wird nach unten angepasst, wenn die Abwicklungsbehörde nach Anhörung der Aufsichtsbehörde feststellt, dass es umsetzbar und glaubhaft ist, dass ein geringerer Betrag ausreicht, um das Marktvertrauen sicherzustellen und sowohl die Fortführung kritischer Funktionen des Instituts oder gruppenangehörigen Unternehmens als auch seinen Zugang zu Finanzmitteln sicherzustellen, ohne dass eine außerordentliche finanzielle Unterstützung aus öffentlichen Mitteln erforderlich wäre, die über die Beiträge aus den Abwicklungsfinanzierungsmechanismen nach § 3a Absatz 2 und § 7a Absatz 3 und 4 des Restrukturierungsfondsgesetzes hinausgeht, nachdem die Ausübung der Befugnis nach den §§ 65, 77 Absatz 2 und § 89 oder nachdem die Abwicklung der Abwicklungsgruppe erfolgt ist. Dieser Betrag wird erhöht, wenn die Abwicklungsbehörde nach Anhörung der Aufsichtsbehörde feststellt, dass ein höherer Betrag notwendig ist, um für einen angemessenen Zeitraum, der nicht länger als ein Jahr ist, ein ausreichendes Marktvertrauen aufrechtzuerhalten und sowohl die Fortführung kritischer Funktionen des Instituts oder gruppenangehörigen Unternehmens als auch seinen Zugang zu Finanzmitteln sicherzustellen, ohne dass über die Beiträge aus den Abwicklungsfinanzierungsmechanismen gemäß § 3a Absatz 2 und § 7a Absatz 3 und 4 des Restrukturierungsfondsgesetzes hinaus eine außerordentliche finanzielle Unterstützung aus öffentlichen Mitteln erforderlich wäre.</w:t>
      </w:r>
    </w:p>
    <w:p>
      <w:r>
        <w:t xml:space="preserve">(10) Geht die Abwicklungsbehörde davon aus, dass bestimmte Kategorien berücksichtigungsfähiger Verbindlichkeiten mit hinreichender Wahrscheinlichkeit gemäß § 92 Absatz 1 vollständig oder teilweise vom Instrument der Gläubigerbeteiligung ausgeschlossen werden oder im Rahmen einer partiellen Übertragung vollständig auf einen übernehmenden Rechtsträger übertragen werden könnten, so wird die in § 49 Absatz 1 genannte Anforderung mit Eigenmitteln oder anderen berücksichtigungsfähigen Verbindlichkeiten erfüllt, die ausreichen, um</w:t>
      </w:r>
    </w:p>
    <w:p>
      <w:pPr>
        <w:ind w:left="420"/>
      </w:pPr>
      <w:r>
        <w:t xml:space="preserve">1. die gemäß § 92 Absatz 1 ausgeschlossenen Verbindlichkeiten zu decken und</w:t>
      </w:r>
    </w:p>
    <w:p>
      <w:pPr>
        <w:ind w:left="420"/>
      </w:pPr>
      <w:r>
        <w:t xml:space="preserve">2. die Erfüllung der in Absatz 2 genannten Voraussetzungen zu gewährleisten.</w:t>
      </w:r>
    </w:p>
    <w:p>
      <w:r>
        <w:t xml:space="preserve">(11) Eine Entscheidung der Abwicklungsbehörde, eine Mindestanforderung an Eigenmittel und berücksichtigungsfähige Verbindlichkeiten vorzuschreiben, umfasst eine entsprechende Begründung samt einer vollständigen Bewertung der in den Absätzen 2 bis 10 genannten Elemente und wird unverzüglich durch die Abwicklungsbehörde überprüft, um allen Änderungen der Höhe einer nach § 6c Absatz 1 des Kreditwesengesetzes festgesetzten Anforderung Rechnung zu tragen.</w:t>
      </w:r>
    </w:p>
    <w:p>
      <w:r>
        <w:t xml:space="preserve">(12) Für die Zwecke der Absätze 3 und 7 sind für die Kapitalanforderungen die Übergangsbestimmungen maßgeblich, die in Teil 10 Titel I Kapitel 1, 2 und 4 der Verordnung (EU) Nr. 575/2013 und in den nationalen Rechtsvorschriften zur Ausübung der Optionen, die den Aufsichtsbehörden im Rahmen dieser Verordnung zur Verfügung stehen, festgelegt sind.</w:t>
      </w:r>
    </w:p>
    <w:p>
      <w:r>
        <w:rPr>
          <w:color w:val="555555"/>
          <w:sz w:val="17"/>
        </w:rPr>
        <w:t xml:space="preserve">Zitiervorschlag: § 49c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https://recht.nulegal.eu/gesetze/SAG/49c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