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49b SAG — Berücksichtigungsfähige Verbindlichkeiten für Abwicklungseinheiten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Verbindlichkeiten dürfen im Betrag der Eigenmittel und berücksichtigungsfähigen Verbindlichkeiten von Abwicklungseinheiten nur dann enthalten sein, wenn sie die in den Artikeln 72a, 72b und 72c der Verordnung (EU) Nr. 575/2013 genannten Voraussetzungen mit Ausnahme der in Artikel 72b Absatz 2 Buchstabe d genannten Voraussetzungen erfüllen. Soweit gemäß den §§ 49 bis 54 Artikel 92a oder 92b der Verordnung (EU) Nr. 575/2013 Anwendung findet, sind berücksichtigungsfähige Verbindlichkeiten solche im Sinne des Artikels 72k und des Teils 2 Titel I Kapitel 5a der Verordnung (EU) Nr. 575/2013.</w:t>
      </w:r>
    </w:p>
    <w:p>
      <w:r>
        <w:t xml:space="preserve">(2) Abweichend von Artikel 72a Absatz 2 Buchstabe l der Verordnung (EU) Nr. 575/2013 dürfen Verbindlichkeiten aus Schuldtiteln mit eingebetteten Derivaten, wie zum Beispiel strukturierten Schuldtiteln, die im Übrigen die in Absatz 1 Satz 1 genannten Voraussetzungen erfüllen, im Betrag der Eigenmittel und berücksichtigungsfähigen Verbindlichkeiten enthalten sein, wenn</w:t>
      </w:r>
    </w:p>
    <w:p>
      <w:pPr>
        <w:ind w:left="420"/>
      </w:pPr>
      <w:r>
        <w:t xml:space="preserve">1. der Nennwert der Verbindlichkeit, die aus dem Schuldtitel erwächst, zum Zeitpunkt der Emission bereits bekannt ist, festgelegt ist oder ansteigt und von keiner eingebetteten Derivatkomponente betroffen ist, und der Gesamtbetrag der aus dem Schuldtitel erwachsenden Verbindlichkeit einschließlich der eingebetteten Derivatkomponente täglich mit Bezug auf einen aktiven und aus Käufer- und Verkäufersicht liquiden Markt für ein gleichwertiges Instrument ohne Kreditrisiko im Einklang mit den Artikeln 104 und 105 der Verordnung (EU) Nr. 575/2013 bewertet werden kann oder</w:t>
      </w:r>
    </w:p>
    <w:p>
      <w:pPr>
        <w:ind w:left="420"/>
      </w:pPr>
      <w:r>
        <w:t xml:space="preserve">2. der Schuldtitel eine Vertragsklausel enthält, in der festgelegt ist, dass der Wert der Forderung im Fall eines Insolvenzverfahrens und einer Abwicklung des Emittenten festgelegt ist oder ansteigt und nicht höher ist als der ursprünglich eingezahlte Betrag der Verbindlichkeit.</w:t>
      </w:r>
    </w:p>
    <w:p>
      <w:r>
        <w:t xml:space="preserve">Schuldtitel, einschließlich ihrer eingebetteten Derivate, dürfen keiner Saldierungsvereinbarung unterliegen und werden nicht nach § 93 Absatz 3 bewertet. Verbindlichkeiten aus Schuldtiteln mit eingebetteten Derivaten dürfen nur für den Teil, der dem in Satz 1 Nummer 1 genannten Nennwert oder dem in Satz 1 Nummer 2 genannten festgelegten oder ansteigenden Betrag entspricht, im Betrag der Eigenmittel und berücksichtigungsfähigen Verbindlichkeiten enthalten sein.</w:t>
      </w:r>
    </w:p>
    <w:p>
      <w:r>
        <w:t xml:space="preserve">(3) Werden Verbindlichkeiten von einem in der Union niedergelassenen Tochterunternehmen, das Teil derselben Abwicklungsgruppe wie die Abwicklungseinheit ist, an einen seiner Anteilseigner, der nicht Teil derselben Abwicklungsgruppe ist, begeben, so dürfen diese Verbindlichkeiten im Betrag der Eigenmittel und berücksichtigungsfähigen Verbindlichkeiten dieser Abwicklungseinheit enthalten sein, wenn die folgenden Voraussetzungen erfüllt sind:</w:t>
      </w:r>
    </w:p>
    <w:p>
      <w:pPr>
        <w:ind w:left="420"/>
      </w:pPr>
      <w:r>
        <w:t xml:space="preserve">1. die Begebung der Verbindlichkeiten erfüllt die Voraussetzungen nach § 49f Absatz 2 Nummer 1,</w:t>
      </w:r>
    </w:p>
    <w:p>
      <w:pPr>
        <w:ind w:left="420"/>
      </w:pPr>
      <w:r>
        <w:t xml:space="preserve">2. die Kontrolle der Abwicklungseinheit über das Tochterunternehmen durch die Ausübung der Befugnis zur Herabschreibung oder Umwandlung in Bezug auf diese Verbindlichkeiten nach den §§ 65 und 66 wird nicht beeinträchtigt und</w:t>
      </w:r>
    </w:p>
    <w:p>
      <w:pPr>
        <w:ind w:left="420"/>
      </w:pPr>
      <w:r>
        <w:t xml:space="preserve">3. die begebenen Verbindlichkeiten übersteigen nicht den nach § 49f Absatz 1 erforderlichen Betrag, von dem die Summe der Verbindlichkeiten, die entweder direkt oder indirekt über andere Unternehmen derselben Abwicklungsgruppe an die Abwicklungseinheit begeben und von dieser erworben werden, und der Betrag der nach § 49f Absatz 2 Nummer 2 begebenen Eigenmittel abzuziehen ist.</w:t>
      </w:r>
    </w:p>
    <w:p>
      <w:r>
        <w:t xml:space="preserve">(4) Unbeschadet der Anforderung nach § 49c Absatz 5 oder § 49d Absatz 1 Nummer 1 ist ein Teil der in § 49e genannten Anforderung in Höhe von 8 Prozent der gesamten Verbindlichkeiten, einschließlich Eigenmitteln, durch Abwicklungseinheiten, die ein global systemrelevantes Institut sind, oder durch Abwicklungseinheiten, die den Anforderungen gemäß § 49c Absatz 5 oder 6 unterliegen, mit Eigenmitteln und mit nachrangigen berücksichtigungsfähigen Instrumenten oder mit Verbindlichkeiten nach Absatz 3 zu erfüllen. Die Abwicklungsbehörde kann zulassen, dass ein Niveau, das unter 8 Prozent der gesamten Verbindlichkeiten einschließlich Eigenmitteln, aber über dem Betrag liegt, der sich aus der Anwendung der Formel (1 – X1 / X2) x 8 Prozent der gesamten Verbindlichkeiten einschließlich Eigenmitteln, ergibt, durch Abwicklungseinheiten, die ein global systemrelevantes Institut sind, oder durch Abwicklungseinheiten, die den Anforderungen gemäß § 49c Absatz 5 oder 6 unterliegen, mit Eigenmitteln und mit nachrangigen berücksichtigungsfähigen Instrumenten oder mit Verbindlichkeiten nach Absatz 3 erfüllt wird, sofern alle Voraussetzungen nach Artikel 72b Absatz 3 der Verordnung (EU) Nr. 575/2013 erfüllt sind. Hierbei sind hinsichtlich der gemäß Artikel 72b Absatz 3 der Verordnung (EU) Nr. 575/2013 möglichen Reduzierung X1 = 3,5 Prozent des gemäß Artikel 92 Absatz 3 der Verordnung (EU) Nr. 575/2013 berechneten Gesamtrisikobetrags und X2 = die Summe aus 18 Prozent des gemäß Artikel 92 Absatz 3 der Verordnung (EU) Nr. 575/2013 berechneten Gesamtrisikobetrags und dem Betrag der kombinierten Kapitalpufferanforderung anzusetzen. Ergibt sich durch die Festlegung gemäß den Sätzen 1 und 2 für Abwicklungseinheiten, die § 49c Absatz 5 unterliegen, eine Anforderung von mehr als 27 Prozent des Gesamtrisikobetrags, so begrenzt die Abwicklungsbehörde für die betreffende Abwicklungseinheit den Teil der Anforderung nach § 49e, der durch den Einsatz von Eigenmitteln, von nachrangigen berücksichtigungsfähigen Instrumenten oder von Verbindlichkeiten nach Absatz 3 zu erfüllen ist, auf einen Betrag in Höhe von 27 Prozent des Gesamtrisikobetrags, wenn die Abwicklungsbehörde zu der Einschätzung gelangt ist, dass</w:t>
      </w:r>
    </w:p>
    <w:p>
      <w:pPr>
        <w:ind w:left="420"/>
      </w:pPr>
      <w:r>
        <w:t xml:space="preserve">1. der Zugang zum Abwicklungsfinanzierungsmechanismus im Abwicklungsplan nicht als Option zur Abwicklung dieser Abwicklungseinheit betrachtet wird und</w:t>
      </w:r>
    </w:p>
    <w:p>
      <w:pPr>
        <w:ind w:left="420"/>
      </w:pPr>
      <w:r>
        <w:t xml:space="preserve">2. wenn Nummer 1 nicht zutrifft, die Abwicklungseinheit die Anforderungen nach § 7a Absatz 3 und 4 des Restrukturierungsfondsgesetzes, je nach Anwendbarkeit, durch die Anforderung nach § 49e erfüllen kann.</w:t>
      </w:r>
    </w:p>
    <w:p>
      <w:r>
        <w:t xml:space="preserve">Bei der Einschätzung gemäß Satz 4 ist zudem das Risiko unverhältnismäßiger Auswirkungen auf das Geschäftsmodell der betreffenden Abwicklungseinheit zu berücksichtigen. Satz 4 gilt nicht für Abwicklungseinheiten, für die § 49c Absatz 6 Anwendung findet.</w:t>
      </w:r>
    </w:p>
    <w:p>
      <w:r>
        <w:t xml:space="preserve">(5) Im Fall von Abwicklungseinheiten, die weder global systemrelevante Institute sind noch Abwicklungseinheiten, auf die § 49c Absatz 5 oder 6 Anwendung findet, kann die Abwicklungsbehörde entscheiden, dass ein Teil der in § 49e genannten Anforderung bis zu einer Höhe von 8 Prozent der gesamten Verbindlichkeiten des Unternehmens einschließlich Eigenmitteln oder bis zu dem Betrag, der sich anhand der Formel nach Absatz 7 errechnet, je nachdem, welcher Wert höher ist, mit Eigenmitteln, mit nachrangigen berücksichtigungsfähigen Instrumenten oder mit Verbindlichkeiten nach Absatz 3 zu erfüllen ist, sofern die folgenden Voraussetzungen erfüllt sind:</w:t>
      </w:r>
    </w:p>
    <w:p>
      <w:pPr>
        <w:ind w:left="420"/>
      </w:pPr>
      <w:r>
        <w:t xml:space="preserve">1. die in den Absätzen 1 und 2 genannten nicht nachrangigen Verbindlichkeiten nehmen in der Insolvenzrangfolge denselben Rang ein wie Verbindlichkeiten, die gemäß § 91 Absatz 2 oder § 92 Absatz 1 von den Herabschreibungs- und Umwandlungsbefugnissen ausgenommen sind;</w:t>
      </w:r>
    </w:p>
    <w:p>
      <w:pPr>
        <w:ind w:left="420"/>
      </w:pPr>
      <w:r>
        <w:t xml:space="preserve">2. es besteht ein Risiko, dass auf Grund des geplanten Gebrauchs von Herabschreibungs- und Umwandlungsbefugnissen bei nicht nachrangigen Verbindlichkeiten, die nicht gemäß § 91 Absatz 2 oder § 92 Absatz 1 von der Anwendung dieser Befugnisse ausgenommen sind, Gläubiger von aus diesen Verbindlichkeiten erwachsenden Forderungen größere Verluste zu tragen haben als bei einer Liquidation nach dem Insolvenzverfahren;</w:t>
      </w:r>
    </w:p>
    <w:p>
      <w:pPr>
        <w:ind w:left="420"/>
      </w:pPr>
      <w:r>
        <w:t xml:space="preserve">3. die Höhe der Eigenmittel und anderen nachrangigen Verbindlichkeiten übersteigt nicht den Betrag, der erforderlich ist, um zu gewährleisten, dass die in Nummer 2 genannten Gläubiger keine größeren Verluste erleiden, als es bei einer Liquidation nach dem Insolvenzverfahren der Fall gewesen wäre.</w:t>
      </w:r>
    </w:p>
    <w:p>
      <w:r>
        <w:t xml:space="preserve">Stellt die Abwicklungsbehörde fest, dass innerhalb eines Insolvenzranges von Verbindlichkeiten, der berücksichtigungsfähige Verbindlichkeiten einschließt, der Betrag der Verbindlichkeiten, die gemäß § 91 Absatz 2 oder § 92 Absatz 1 von der Anwendung der Herabschreibungs- und Umwandlungsbefugnisse ausgeschlossen sind oder mit hinreichender Wahrscheinlichkeit ausgeschlossen werden könnten, insgesamt über 10 Prozent dieser Kategorie ausmacht, so bewertet die Abwicklungsbehörde das in Satz 1 Nummer 2 genannte Risiko.</w:t>
      </w:r>
    </w:p>
    <w:p>
      <w:r>
        <w:t xml:space="preserve">(6) Für die Zwecke der Absätze 4, 5 und 7 umfassen die gesamten Verbindlichkeiten auch Derivatverbindlichkeiten, sofern die Saldierungsrechte der Gegenpartei uneingeschränkt anerkannt werden. Die Eigenmittel einer Abwicklungseinheit, die zur Erfüllung der kombinierten Kapitalpufferanforderung verwendet werden, sind für die Zwecke der Erfüllung der Anforderungen nach den Absätzen 4, 5 und 7 berücksichtigungsfähig.</w:t>
      </w:r>
    </w:p>
    <w:p>
      <w:r>
        <w:t xml:space="preserve">(7) Abweichend von Absatz 4 hat die Abwicklungsbehörde die Befugnis, zu entscheiden, dass die Anforderung nach § 49e von Abwicklungseinheiten, die ein global systemrelevantes Institut sind, oder von Abwicklungseinheiten, die den Anforderungen nach § 49c Absatz 5 oder 6 unterliegen, mit Eigenmitteln, mit nachrangigen berücksichtigungsfähigen Instrumenten oder mit Verbindlichkeiten nach Absatz 3 zu erfüllen ist, soweit die Summe dieser Eigenmittel, Instrumente und Verbindlichkeiten auf Grund der Verpflichtung der Abwicklungseinheit, den kombinierten Kapitalpufferanforderungen sowie den Anforderungen nach Artikel 92a der Verordnung (EU) Nr. 575/2013, § 49c Absatz 5 und § 49e nachzukommen, den höheren der folgenden Werte nicht übersteigt:</w:t>
      </w:r>
    </w:p>
    <w:p>
      <w:pPr>
        <w:ind w:left="420"/>
      </w:pPr>
      <w:r>
        <w:t xml:space="preserve">1. 8 Prozent der gesamten Verbindlichkeiten des Unternehmens, einschließlich der Eigenmittel, oder</w:t>
      </w:r>
    </w:p>
    <w:p>
      <w:pPr>
        <w:ind w:left="420"/>
      </w:pPr>
      <w:r>
        <w:t xml:space="preserve">2. den Betrag, der sich anhand der Formel A x 2 + B x 2 + C errechnet, wobei A, B und C die folgenden Beträge sind:A = der Betrag, der sich aufgrund der Anforderung nach Artikel 92 Absatz 1 Buchstabe c der Verordnung (EU) Nr. 575/2013 ergibt;B = der Betrag, der sich aufgrund der Anforderung nach § 6c Absatz 1 des Kreditwesengesetzes ergibt;C = der Betrag, der sich aufgrund der kombinierten Kapitalpufferanforderung ergibt.</w:t>
      </w:r>
    </w:p>
    <w:p>
      <w:r>
        <w:t xml:space="preserve">(8) Die Abwicklungsbehörde kann die in Absatz 7 genannte Befugnis in Bezug auf Abwicklungseinheiten, die ein global systemrelevantes Institut sind oder die § 49c Absatz 5 oder 6 unterliegen und die eine der Voraussetzungen nach Satz 2 erfüllen, für bis zu höchstens 30 Prozent aller Abwicklungseinheiten ausüben, die ein global systemrelevantes Institut sind oder die § 49c Absatz 5 oder 6 unterliegen und für die die Abwicklungsbehörde die Anforderung nach § 49e festlegt. Die folgenden Voraussetzungen werden von der Abwicklungsbehörde bei Ausübung der Befugnis berücksichtigt:</w:t>
      </w:r>
    </w:p>
    <w:p>
      <w:pPr>
        <w:ind w:left="420"/>
      </w:pPr>
      <w:r>
        <w:t xml:space="preserve">1. in der vorangegangenen Bewertung der Abwicklungsfähigkeit wurden wesentliche Abwicklungshindernisse für die Abwicklungsfähigkeit ermittelt und</w:t>
      </w:r>
    </w:p>
    <w:p>
      <w:pPr>
        <w:ind w:left="780"/>
      </w:pPr>
      <w:r>
        <w:t xml:space="preserve">a) nach Einleitung der Maßnahmen zum Abbau der Abwicklungshindernisse nach § 59 Absatz 6 wurden innerhalb des von der Abwicklungsbehörde vorgeschriebenen Zeitplans keine Abhilfemaßnahmen ergriffen oder</w:t>
      </w:r>
    </w:p>
    <w:p>
      <w:pPr>
        <w:ind w:left="780"/>
      </w:pPr>
      <w:r>
        <w:t xml:space="preserve">b) das ermittelte wesentliche Hindernis lässt sich durch keine der Maßnahmen zum Abbau der Abwicklungshindernisse nach § 59 Absatz 6 beseitigen und die Ausübung der Befugnis nach Absatz 7 würde die negativen Auswirkungen des wesentlichen Hindernisses für die Abwicklungsfähigkeit teilweise oder vollständig aufwiegen;</w:t>
      </w:r>
    </w:p>
    <w:p>
      <w:pPr>
        <w:ind w:left="420"/>
      </w:pPr>
      <w:r>
        <w:t xml:space="preserve">2. die Abwicklungsbehörde ist der Auffassung, dass die Umsetzbarkeit und Glaubhaftigkeit der bevorzugten Abwicklungsstrategie der Abwicklungseinheit angesichts ihrer Größe, ihrer Verflechtungen, der Art, des Umfangs, des Risikos und der Komplexität ihrer Tätigkeiten, ihrer Rechtsform sowie ihrer Beteiligungsstruktur eingeschränkt sind oder</w:t>
      </w:r>
    </w:p>
    <w:p>
      <w:pPr>
        <w:ind w:left="420"/>
      </w:pPr>
      <w:r>
        <w:t xml:space="preserve">3. aus der Anforderung nach § 6c Absatz 1 des Kreditwesengesetzes ergibt sich, dass die Abwicklungseinheit, die ein global systemrelevantes Institut ist oder § 49c Absatz 5 oder 6 unterliegt, zu den 20 Prozent der Institute mit dem höchsten Risiko gehört, für die die Abwicklungsbehörde die Anforderung nach § 49 Absatz 1 festlegt.</w:t>
      </w:r>
    </w:p>
    <w:p>
      <w:r>
        <w:t xml:space="preserve">Für die Zwecke der Prozentsätze nach den Sätzen 1 und 2 rundet die Abwicklungsbehörde das berechnete Ergebnis auf die nächsthöhere ganze Zahl auf.</w:t>
      </w:r>
    </w:p>
    <w:p>
      <w:r>
        <w:t xml:space="preserve">(9) Die Abwicklungsbehörde fasst die in den Absätzen 5 und 7 genannten Entscheidungen nach Anhörung der Aufsichtsbehörde. Bei diesen Entscheidungen berücksichtigt die Abwicklungsbehörde zudem</w:t>
      </w:r>
    </w:p>
    <w:p>
      <w:pPr>
        <w:ind w:left="420"/>
      </w:pPr>
      <w:r>
        <w:t xml:space="preserve">1. die Markttiefe für die Eigenmittelinstrumente der Abwicklungseinheit und die nachrangigen berücksichtigungsfähigen Instrumente, gegebenenfalls die Bepreisung dieser Instrumente und die Zeit, die für die Umsetzung der Entscheidung erforderlichen Transaktionen benötigt wird,</w:t>
      </w:r>
    </w:p>
    <w:p>
      <w:pPr>
        <w:ind w:left="420"/>
      </w:pPr>
      <w:r>
        <w:t xml:space="preserve">2. den Betrag der Instrumente berücksichtigungsfähiger Verbindlichkeiten, die alle in Artikel 72a der Verordnung (EU) Nr. 575/2013 genannten Voraussetzungen erfüllen, mit einer Restlaufzeit von weniger als einem Jahr ab dem Zeitpunkt, zu dem die Entscheidung gefasst wird, um quantitative Anpassungen an den Anforderungen nach den Absätzen 5 und 7 vorzunehmen,</w:t>
      </w:r>
    </w:p>
    <w:p>
      <w:pPr>
        <w:ind w:left="420"/>
      </w:pPr>
      <w:r>
        <w:t xml:space="preserve">3. die Verfügbarkeit und den Betrag der Instrumente, die alle in Artikel 72a der Verordnung (EU) Nr. 575/2013 genannten Voraussetzungen – mit Ausnahme der in Artikel 72b Absatz 2 Buchstabe d der Verordnung (EU) Nr. 575/2013 genannten Voraussetzungen – erfüllen,</w:t>
      </w:r>
    </w:p>
    <w:p>
      <w:pPr>
        <w:ind w:left="420"/>
      </w:pPr>
      <w:r>
        <w:t xml:space="preserve">4. die Frage, ob der Betrag der gemäß § 91 Absatz 2 oder § 92 Absatz 1 von der Anwendung der Herabschreibungs- und Umwandlungsbefugnisse ausgeschlossenen Verbindlichkeiten, die in regulären Insolvenzverfahren denselben Rang wie oder einen niedrigeren Rang einnehmen als die höchstrangigen berücksichtigungsfähigen Verbindlichkeiten, erheblich ist, wenn er mit den Eigenmitteln und berücksichtigungsfähigen Verbindlichkeiten der Abwicklungseinheit verglichen wird; übersteigt der Betrag der ausgeschlossenen Verbindlichkeiten 5 Prozent des Betrags der Eigenmittel und berücksichtigungsfähigen Verbindlichkeiten der Abwicklungseinheit nicht, so gilt der ausgeschlossene Betrag als nicht erheblich; oberhalb dieses Schwellenwerts wird die Erheblichkeit der ausgeschlossenen Verbindlichkeiten von der Abwicklungsbehörde bewertet,</w:t>
      </w:r>
    </w:p>
    <w:p>
      <w:pPr>
        <w:ind w:left="420"/>
      </w:pPr>
      <w:r>
        <w:t xml:space="preserve">5. das Geschäftsmodell, das Refinanzierungsmodell und das Risikoprofil der Abwicklungseinheit sowie seine Stabilität und seine Fähigkeit, einen Beitrag zur Wirtschaft zu leisten, und</w:t>
      </w:r>
    </w:p>
    <w:p>
      <w:pPr>
        <w:ind w:left="420"/>
      </w:pPr>
      <w:r>
        <w:t xml:space="preserve">6. die Auswirkungen etwaiger Umstrukturierungskosten auf die Rekapitalisierung der Abwicklungseinheit.</w:t>
      </w:r>
    </w:p>
    <w:p>
      <w:r>
        <w:rPr>
          <w:color w:val="555555"/>
          <w:sz w:val="17"/>
        </w:rPr>
        <w:t xml:space="preserve">Zitiervorschlag: § 49b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