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SAG — Anwendung und Berechnung der Mindestanforderung an Eigenmittel und berücksichtigungsfähige Verbindlichkeiten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Institute und gruppenangehörige Unternehmen haben auf Verlangen der Abwicklungsbehörde die Mindestanforderung an Eigenmittel und berücksichtigungsfähige Verbindlichkeiten gemäß Absatz 2 und den §§ 49a bis 51 einzuhalten.</w:t>
      </w:r>
    </w:p>
    <w:p>
      <w:r>
        <w:t xml:space="preserve">(2) Die in Absatz 1 genannte Anforderung wird als Betrag der Eigenmittel und berücksichtigungsfähigen Verbindlichkeiten gemäß § 49c Absatz 3 bis 5 oder 7 bis 9, vorbehaltlich besonderer Regelungen in Absatz 3, wie folgt berechnet und ausgedrückt als prozentualer Anteil</w:t>
      </w:r>
    </w:p>
    <w:p>
      <w:pPr>
        <w:ind w:left="420"/>
      </w:pPr>
      <w:r>
        <w:t xml:space="preserve">1. des gemäß Artikel 92 Absatz 3 der Verordnung (EU) Nr. 575/2013 berechneten Gesamtrisikobetrags des Instituts oder gruppenangehörigen Unternehmens und</w:t>
      </w:r>
    </w:p>
    <w:p>
      <w:pPr>
        <w:ind w:left="420"/>
      </w:pPr>
      <w:r>
        <w:t xml:space="preserve">2. der gemäß den Artikeln 429 und 429a der Verordnung (EU) Nr. 575/2013 berechneten Gesamtrisikopositionsmessgröße des Instituts oder gruppenangehörigen Unternehmens.</w:t>
      </w:r>
    </w:p>
    <w:p>
      <w:r>
        <w:t xml:space="preserve">(3) Soweit in den Vorschriften dieses Gesetzes auf Regelungen des Artikels 92 der Verordnung (EU) Nr. 575/2013 in Bezug auf Eigenmittelanforderungen an Wertpapierinstitute auf Einzelbasis Bezug genommen wird, gelten die folgenden Besonderheiten für Wertpapierinstitute, die nicht die Anforderungen nach Artikel 1 Absatz 2 oder Absatz 5 der Verordnung (EU) 2019/2033 des Europäischen Parlaments und des Rates vom 27. November 2019 über Aufsichtsanforderungen an Wertpapierfirmen und zur Änderung der Verordnungen (EU) Nr. 1093/2010, (EU) Nr. 575/2013, (EU) Nr. 600/2014 und (EU) Nr. 806/2014 (ABl. L 314 vom 5.12.2019, S. 1; L 20 vom 24.1.2020, S. 26; L 405 vom 2.12.2020, S. 79; L 261 vom 22.7.2021, S. 60) erfüllen:</w:t>
      </w:r>
    </w:p>
    <w:p>
      <w:pPr>
        <w:ind w:left="420"/>
      </w:pPr>
      <w:r>
        <w:t xml:space="preserve">1. die Bezugnahme auf Artikel 92 Absatz 1 Buchstabe c der Verordnung (EU) Nr. 575/2013 zur Bestimmung der Gesamtkapitalquote des Instituts gilt als Bezugnahme auf die entsprechende Regelung in Artikel 11 Absatz 1 der Verordnung (EU) 2019/2033;</w:t>
      </w:r>
    </w:p>
    <w:p>
      <w:pPr>
        <w:ind w:left="420"/>
      </w:pPr>
      <w:r>
        <w:t xml:space="preserve">2. die Bezugnahme auf Artikel 92 Absatz 3 der Verordnung (EU) Nr. 575/2013 zur Bestimmung des Gesamtrisikobetrags des Instituts gilt als Bezugnahme auf die entsprechende Regelung in Artikel 11 Absatz 1 der Verordnung (EU) 2019/2033, multipliziert mit 12,5.</w:t>
      </w:r>
    </w:p>
    <w:p>
      <w:r>
        <w:t xml:space="preserve">Die Bezugnahme auf die zusätzliche Eigenmittelanforderung nach § 6c Absatz 1 des Kreditwesengesetzes gilt für Wertpapierinstitute, die nicht die Anforderungen nach Artikel 1 Absatz 2 oder Absatz 5 der Verordnung (EU) 2019/2033 erfüllen, als Bezugnahme auf die entsprechende Regelung in § 50 des Wertpapierinstitutsgesetzes.</w:t>
      </w:r>
    </w:p>
    <w:p>
      <w:r>
        <w:rPr>
          <w:color w:val="555555"/>
          <w:sz w:val="17"/>
        </w:rPr>
        <w:t xml:space="preserve">Zitiervorschlag: § 49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