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SAG — Mitwirkung Dritter; Verordnungsermächtigung</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Die folgenden Unternehmen haben der Abwicklungsbehörde, der Aufsichtsbehörde und der Deutschen Bundesbank Art und Ausmaß der Vernetzung im Sinne des § 40 Absatz 3 Nummer 12 mit Instituten mitzuteilen:</w:t>
      </w:r>
    </w:p>
    <w:p>
      <w:pPr>
        <w:ind w:left="420"/>
      </w:pPr>
      <w:r>
        <w:t xml:space="preserve">1. Erst- und Rückversicherungsunternehmen sowie Pensionsfonds mit Sitz im Inland,</w:t>
      </w:r>
    </w:p>
    <w:p>
      <w:pPr>
        <w:ind w:left="420"/>
      </w:pPr>
      <w:r>
        <w:t xml:space="preserve">2. Versicherungs-Holdinggesellschaften im Sinne der §§ 1b und 104a Absatz 2 Nummer 4 des Versicherungsaufsichtsgesetzes mit Sitz im Inland,</w:t>
      </w:r>
    </w:p>
    <w:p>
      <w:pPr>
        <w:ind w:left="420"/>
      </w:pPr>
      <w:r>
        <w:t xml:space="preserve">3. Versicherungs-Zweckgesellschaften mit Sitz im Inland,</w:t>
      </w:r>
    </w:p>
    <w:p>
      <w:pPr>
        <w:ind w:left="420"/>
      </w:pPr>
      <w:r>
        <w:t xml:space="preserve">4. gemischte Finanzholdinggesellschaften mit Sitz im Inland,</w:t>
      </w:r>
    </w:p>
    <w:p>
      <w:pPr>
        <w:ind w:left="420"/>
      </w:pPr>
      <w:r>
        <w:t xml:space="preserve">5. übergeordnete Unternehmen eines Finanzkonglomerats mit Sitz im Inland, es sei denn, es handelt sich um Institute im Sinne des § 1 Absatz 1b des Kreditwesengesetzes,</w:t>
      </w:r>
    </w:p>
    <w:p>
      <w:pPr>
        <w:ind w:left="420"/>
      </w:pPr>
      <w:r>
        <w:t xml:space="preserve">6. im Inland erlaubnispflichtige Niederlassungen von Erst- und Rückversicherungsunternehmen mit Sitz in einem Drittstaat,</w:t>
      </w:r>
    </w:p>
    <w:p>
      <w:pPr>
        <w:ind w:left="420"/>
      </w:pPr>
      <w:r>
        <w:t xml:space="preserve">7. Einrichtungen der betrieblichen Altersversorgung mit Sitz in einem Drittstaat,</w:t>
      </w:r>
    </w:p>
    <w:p>
      <w:pPr>
        <w:ind w:left="420"/>
      </w:pPr>
      <w:r>
        <w:t xml:space="preserve">8. im Inland nach § 110d Absatz 1 Satz 1 des Versicherungsaufsichtsgesetzes erlaubnispflichtige Niederlassungen von Versicherungsunternehmen mit Sitz in einem anderen Mitgliedstaat der Europäischen Gemeinschaft oder in einem anderen Vertragsstaat des Abkommens über den Europäischen Wirtschaftsraum, die nicht den Richtlinien des Rates der Europäischen Gemeinschaft auf dem Gebiet des Versicherungswesens unterliegen,</w:t>
      </w:r>
    </w:p>
    <w:p>
      <w:pPr>
        <w:ind w:left="420"/>
      </w:pPr>
      <w:r>
        <w:t xml:space="preserve">9. OGAW-Kapitalverwaltungsgesellschaften nach dem Kapitalanlagegesetzbuch, bei extern verwalteten OGAW-Kapitalverwaltungsgesellschaften auch in Bezug auf die von ihnen verwalteten Investmentvermögen, und</w:t>
      </w:r>
    </w:p>
    <w:p>
      <w:pPr>
        <w:ind w:left="420"/>
      </w:pPr>
      <w:r>
        <w:t xml:space="preserve">10. AIF-Kapitalverwaltungsgesellschaften nach dem Kapitalanlagegesetzbuch, bei extern verwalteten AIF-Kapitalverwaltungsgesellschaften auch in Bezug auf die von ihnen verwalteten Investmentvermögen.</w:t>
      </w:r>
    </w:p>
    <w:p>
      <w:r>
        <w:t xml:space="preserve">Die Abwicklungsbehörde kann den in Satz 1 genannten Unternehmen weitere Anzeige- und Meldepflichten gegenüber der Abwicklungsbehörde, der Aufsichtsbehörde und der Deutschen Bundesbank auferlegen und von diesen Unternehmen weitere Informationen anfordern, die bei der Erstellung und Aktualisierung des Abwicklungsplans für die Vernetzungsanalyse erforderlich sind.</w:t>
      </w:r>
    </w:p>
    <w:p>
      <w:r>
        <w:t xml:space="preserve">(2) Das Bundesministerium der Finanzen wird ermächtigt, durch Rechtsverordnung, die nicht der Zustimmung des Bundesrates bedarf, nähere Bestimmungen zu erlassen über Art und Umfang der Mitteilungspflichten nach Absatz 1 sowie deren Zeitpunkt und Form, die zulässigen Datenträger, Übertragungswege und Datenformate und die Verpflichtung zur Erstattung von Sammelanzeigen und die Einreichung von Sammelaufstellungen, soweit dies zur Erfüllung der Aufgaben der Abwicklungsbehörde erforderlich ist, insbesondere, um einheitliche Unterlagen zur Erstellung und Aktualisierung des Abwicklungsplans zu erhalten. Das Bundesministerium der Finanzen kann die Ermächtigung durch Rechtsverordnung auf die Bundesanstalt für Finanzdienstleistungsaufsicht mit der Maßgabe übertragen, dass die Rechtsverordnung im Benehmen mit der Abwicklungsbehörde ergeht.</w:t>
      </w:r>
    </w:p>
    <w:p>
      <w:r>
        <w:rPr>
          <w:color w:val="555555"/>
          <w:sz w:val="17"/>
        </w:rPr>
        <w:t xml:space="preserve">Zitiervorschlag: § 45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