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SAG — Abberufung der Geschäftsleitung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Sind die Maßnahmen nach § 36 nicht ausreichend, die signifikante Verschlechterung der wirtschaftlichen Situation des Instituts zu verbessern und die Verstöße gegen die in § 36 Absatz 1 genannten Rechtsvorschriften zu beseitigen, kann die Aufsichtsbehörde gegenüber dem Institut die Abberufung einzelner oder aller Geschäftsleiter oder Mitglieder des Aufsichts- oder Verwaltungsorgans anordnen. Die Bestellung der neuen Geschäftsleiter oder Mitglieder des Aufsichts- oder Verwaltungsorgans durch das Institut bedarf der Zustimmung der Aufsichtsbehörde.</w:t>
      </w:r>
    </w:p>
    <w:p>
      <w:r>
        <w:t xml:space="preserve">(2) Befugnisse der Aufsichtsbehörde nach dem Kreditwesengesetz bleiben unberührt.</w:t>
      </w:r>
    </w:p>
    <w:p>
      <w:r>
        <w:rPr>
          <w:color w:val="555555"/>
          <w:sz w:val="17"/>
        </w:rPr>
        <w:t xml:space="preserve">Zitiervorschlag: § 37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