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SAG — Offenlegungspflichten</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Jedes Unternehmen einer Gruppe hat offenzulegen, ob es Partei einer Vereinbarung über gruppeninterne finanzielle Unterstützung ist. Jede Partei einer Vereinbarung über gruppeninterne finanzielle Unterstützung hat darüber hinaus die allgemeinen Bedingungen der Vereinbarung sowie die Namen der beteiligten Unternehmen der Gruppe offenzulegen. Die nach den Sätzen 1 und 2 offenzulegenden Angaben sind mindestens einmal jährlich zu aktualisieren.</w:t>
      </w:r>
    </w:p>
    <w:p>
      <w:r>
        <w:t xml:space="preserve">(2) Die Vorschriften der Artikel 431 bis 434 der Verordnung (EU) Nr. 575/2013 sind anzuwenden.</w:t>
      </w:r>
    </w:p>
    <w:p>
      <w:r>
        <w:rPr>
          <w:color w:val="555555"/>
          <w:sz w:val="17"/>
        </w:rPr>
        <w:t xml:space="preserve">Zitiervorschlag: § 35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