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SAG — Beschlüsse über Gewährung und Annahme einer finanziellen Unterstützung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Geschäftsleitung entscheidet über die beabsichtigte Gewährung einer gruppeninternen finanziellen Unterstützung nach Maßgabe der Vereinbarung über gruppeninterne finanzielle Unterstützung und der Entscheidung der Aufsichtsbehörde gemäß § 33 Absatz 1. Die Gründe für die Gewährung sind von der Geschäftsleitung zu dokumentieren.</w:t>
      </w:r>
    </w:p>
    <w:p>
      <w:r>
        <w:t xml:space="preserve">(2) Die Geschäftsleitung entscheidet über die Annahme einer gruppeninternen finanziellen Unterstützung.</w:t>
      </w:r>
    </w:p>
    <w:p>
      <w:r>
        <w:rPr>
          <w:color w:val="555555"/>
          <w:sz w:val="17"/>
        </w:rPr>
        <w:t xml:space="preserve">Zitiervorschlag: § 31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