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SAG — Einholung der Zustimmung der Anteilsinhaber; Berichtspflichten gegenüber den Anteilsinhabern</w:t>
      </w:r>
    </w:p>
    <w:p>
      <w:r>
        <w:rPr>
          <w:color w:val="555555"/>
          <w:sz w:val="18"/>
        </w:rPr>
        <w:t xml:space="preserve">Sanierungs- und Abwicklungsgesetz</w:t>
      </w:r>
    </w:p>
    <w:p>
      <w:r>
        <w:rPr>
          <w:color w:val="555555"/>
          <w:sz w:val="18"/>
        </w:rPr>
        <w:t xml:space="preserve">Stand: 10.06.2019 (konsolidierte Textfassung, kein amtliches Inkrafttretensdatum)</w:t>
      </w:r>
    </w:p>
    <w:p>
      <w:r>
        <w:t xml:space="preserve">(1) Eine Vereinbarung über gruppeninterne finanzielle Unterstützung wird nur im Verhältnis derjenigen Parteien wirksam, deren Anteilsinhaber der Vereinbarung zustimmen. Falls die Anteilsinhaber ihre Entscheidungen auf Grund der Rechtsform des Instituts oder des Finanzinstituts in einer Versammlung treffen, tritt die Zustimmung der Versammlung an die Stelle der Zustimmung der Anteilsinhaber.</w:t>
      </w:r>
    </w:p>
    <w:p>
      <w:r>
        <w:t xml:space="preserve">(2) Die Geschäftsleitung jedes Unternehmens, das Partei einer Vereinbarung über gruppeninterne finanzielle Unterstützung ist, erstattet den Anteilsinhabern mindestens jährlich Bericht über den Stand der Durchführung der Vereinbarung und die Umsetzung aller auf der Grundlage der Vereinbarung getroffenen Entscheidungen.</w:t>
      </w:r>
    </w:p>
    <w:p>
      <w:r>
        <w:rPr>
          <w:color w:val="555555"/>
          <w:sz w:val="17"/>
        </w:rPr>
        <w:t xml:space="preserve">Zitiervorschlag: § 29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