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SAG — Verordnungsermächtigung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Das Bundesministerium der Finanzen wird ermächtigt, durch Rechtsverordnung ohne Zustimmung des Bundesrates im Benehmen mit der Deutschen Bundesbank nähere Bestimmungen zu erlassen über</w:t>
      </w:r>
    </w:p>
    <w:p>
      <w:pPr>
        <w:ind w:left="420"/>
      </w:pPr>
      <w:r>
        <w:t xml:space="preserve">1. die Anforderungen an die Ausgestaltung von Sanierungsplänen, insbesondere nähere Bestimmungen zu den in § 13 Absatz 2 genannten wesentlichen Bestandteilen des Sanierungsplans, jeweils auch unter Berücksichtigung besonderer Geschäftsmodelle und besonderer Geschäftsaktivitäten von Instituten,</w:t>
      </w:r>
    </w:p>
    <w:p>
      <w:pPr>
        <w:ind w:left="420"/>
      </w:pPr>
      <w:r>
        <w:t xml:space="preserve">2. den Inhalt von vereinfachten Anforderungen an Sanierungspläne gemäß § 19 Absatz 1 und</w:t>
      </w:r>
    </w:p>
    <w:p>
      <w:pPr>
        <w:ind w:left="420"/>
      </w:pPr>
      <w:r>
        <w:t xml:space="preserve">3. die Anforderungen nach § 20, insbesondere</w:t>
      </w:r>
    </w:p>
    <w:p>
      <w:pPr>
        <w:ind w:left="780"/>
      </w:pPr>
      <w:r>
        <w:t xml:space="preserve">a) zum Antrag auf Befreiung,</w:t>
      </w:r>
    </w:p>
    <w:p>
      <w:pPr>
        <w:ind w:left="780"/>
      </w:pPr>
      <w:r>
        <w:t xml:space="preserve">b) zu den vom Institut und vom institutsbezogenen Sicherungssystem zu erfüllenden Voraussetzungen der Befreiung und</w:t>
      </w:r>
    </w:p>
    <w:p>
      <w:pPr>
        <w:ind w:left="780"/>
      </w:pPr>
      <w:r>
        <w:t xml:space="preserve">c) zum Inhalt von Sanierungsplänen, die im Falle einer Befreiung gemäß § 20 vom jeweiligen institutsbezogenen Sicherungssystem zu erstellen sind.</w:t>
      </w:r>
    </w:p>
    <w:p>
      <w:r>
        <w:t xml:space="preserve">Das Bundesministerium der Finanzen kann die Ermächtigung durch Rechtsverordnung auf die Bundesanstalt für Finanzdienstleistungsaufsicht mit der Maßgabe übertragen, dass die Rechtsverordnung im Einvernehmen mit der Deutschen Bundesbank ergeht. Vor Erlass der Rechtsverordnung ist die Abwicklungsbehörde anzuhören.</w:t>
      </w:r>
    </w:p>
    <w:p>
      <w:r>
        <w:t xml:space="preserve">(2) Das Bundesministerium der Finanzen wird ermächtigt, durch Rechtsverordnung ohne Zustimmung des Bundesrates im Benehmen mit der Deutschen Bundesbank nähere Bestimmungen zu erlassen zu den in § 19 Absatz 2 genannten Kriterien für die Festlegung vereinfachter Anforderungen. Das Bundesministerium der Finanzen kann die Ermächtigung durch Rechtsverordnung ohne Zustimmung des Bundesrates auf die Bundesanstalt für Finanzdienstleistungsaufsicht mit der Maßgabe übertragen, dass die Rechtsverordnung im Einvernehmen mit der Deutschen Bundesbank und im Benehmen mit der Abwicklungsbehörde ergeht.</w:t>
      </w:r>
    </w:p>
    <w:p>
      <w:r>
        <w:rPr>
          <w:color w:val="555555"/>
          <w:sz w:val="17"/>
        </w:rPr>
        <w:t xml:space="preserve">Zitiervorschlag: § 21a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