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179a SAG — Besondere Vorschriften für das Verwaltungsverfahren</w:t>
      </w:r>
    </w:p>
    <w:p>
      <w:r>
        <w:rPr>
          <w:color w:val="555555"/>
          <w:sz w:val="18"/>
        </w:rPr>
        <w:t xml:space="preserve">Sanierungs- und Abwicklungsgesetz</w:t>
      </w:r>
    </w:p>
    <w:p>
      <w:r>
        <w:rPr>
          <w:color w:val="555555"/>
          <w:sz w:val="18"/>
        </w:rPr>
        <w:t xml:space="preserve">Stand: 06.01.2024 (konsolidierte Textfassung, kein amtliches Inkrafttretensdatum)</w:t>
      </w:r>
    </w:p>
    <w:p>
      <w:r>
        <w:t xml:space="preserve">Vor dem Erlass einer Maßnahme nach den §§ 66a, 77 bis 90, 101, 107, 153 oder nach § 169 ist die Abwicklungsbehörde zur Durchführung einer Anhörung nach § 28 des Verwaltungsverfahrensgesetzes nicht verpflichtet.</w:t>
      </w:r>
    </w:p>
    <w:p>
      <w:r>
        <w:rPr>
          <w:color w:val="555555"/>
          <w:sz w:val="17"/>
        </w:rPr>
        <w:t xml:space="preserve">Zitiervorschlag: § 179a 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https://recht.nulegal.eu/gesetze/SAG/179a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